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СХВАЛЕНО                                                                          ЗАТВЕРДЖЕНО</w:t>
      </w:r>
    </w:p>
    <w:p>
      <w:pPr>
        <w:pStyle w:val="Normal"/>
        <w:shd w:val="clear" w:color="auto" w:fill="FFFFFF"/>
        <w:spacing w:lineRule="auto" w:line="36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 засіданні пед. ради                                      Наказ директора ліцею       Протокол № 1 від 29.08.2022                                             від  30.08.2022 № 97 ОД</w:t>
      </w:r>
    </w:p>
    <w:p>
      <w:pPr>
        <w:pStyle w:val="Normal"/>
        <w:spacing w:lineRule="auto" w:line="276" w:before="0" w:after="0"/>
        <w:ind w:left="5103" w:hanging="0"/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000000" w:themeColor="text1"/>
          <w:sz w:val="40"/>
          <w:szCs w:val="28"/>
        </w:rPr>
        <w:t>Освітня програма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val="000000" w:themeColor="text1"/>
          <w:sz w:val="36"/>
          <w:szCs w:val="28"/>
        </w:rPr>
        <w:t xml:space="preserve">Суховільського ліцею Зимноводівської сільської ради  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val="000000" w:themeColor="text1"/>
          <w:sz w:val="36"/>
          <w:szCs w:val="28"/>
        </w:rPr>
        <w:t>для 1-4 класів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val="000000" w:themeColor="text1"/>
          <w:sz w:val="36"/>
          <w:szCs w:val="28"/>
        </w:rPr>
        <w:t>на 2022-2023 навчальний рік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 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</w:r>
      <w:r>
        <w:br w:type="page"/>
      </w:r>
    </w:p>
    <w:p>
      <w:pPr>
        <w:pStyle w:val="Normal"/>
        <w:shd w:val="clear" w:color="auto" w:fill="FFFFFF"/>
        <w:spacing w:lineRule="auto" w:line="276" w:before="0" w:after="0"/>
        <w:ind w:right="4819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76" w:before="0" w:after="0"/>
        <w:ind w:right="30" w:hanging="0"/>
        <w:jc w:val="left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СТРУКТУРА ОСВІТНЬОЇ ПРОГРАМИ</w:t>
      </w:r>
    </w:p>
    <w:p>
      <w:pPr>
        <w:pStyle w:val="Normal"/>
        <w:spacing w:lineRule="auto" w:line="276" w:before="0" w:after="0"/>
        <w:ind w:right="30" w:hanging="0"/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1. Загальні положення освітньої програми. Інформація про заклад</w:t>
      </w:r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2. Вимоги до осіб, які можуть розпочинати здобуття освіти у закладі</w:t>
      </w:r>
    </w:p>
    <w:p>
      <w:pPr>
        <w:pStyle w:val="Normal"/>
        <w:widowControl/>
        <w:shd w:val="clear" w:color="auto" w:fill="FFFFFF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3.Опис “моделі” випускника закладу</w:t>
      </w:r>
    </w:p>
    <w:p>
      <w:pPr>
        <w:pStyle w:val="Normal"/>
        <w:widowControl/>
        <w:shd w:val="clear" w:color="auto" w:fill="FFFFFF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4. Навчальний план та його обґрунтування</w:t>
      </w:r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5. Загальний обсяг навчального навантаження</w:t>
      </w:r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6. Форми організації освітнього процесу</w:t>
      </w:r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7. Інструментарій оцінювання навчальних досягнень здобувачів освіти</w:t>
      </w:r>
    </w:p>
    <w:p>
      <w:pPr>
        <w:pStyle w:val="Normal"/>
        <w:shd w:val="clear" w:color="auto" w:fill="FFFFFF"/>
        <w:spacing w:lineRule="auto" w:line="240" w:before="0" w:after="0"/>
        <w:ind w:right="-24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Програмно-методичне забезпечення освітньої програми</w:t>
      </w:r>
    </w:p>
    <w:p>
      <w:pPr>
        <w:pStyle w:val="Normal"/>
        <w:shd w:val="clear" w:color="auto" w:fill="FFFFFF"/>
        <w:spacing w:lineRule="auto" w:line="276" w:before="0" w:after="0"/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yellow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yellow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pacing w:lineRule="auto" w:line="276" w:before="0" w:after="0"/>
        <w:ind w:hanging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1.ЗАГАЛЬНІ ПОЛОЖЕННЯ ОСВІТНЬОЇ ПРОГРАМИ. </w:t>
      </w:r>
    </w:p>
    <w:p>
      <w:pPr>
        <w:pStyle w:val="Normal"/>
        <w:spacing w:lineRule="auto" w:line="276" w:before="0" w:after="0"/>
        <w:ind w:firstLine="567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ІНФОРМАЦІЯ ПРО ЗАКЛАД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Освітня програма </w:t>
      </w:r>
      <w:r>
        <w:rPr>
          <w:rFonts w:eastAsia="Times New Roman" w:cs="Times New Roman" w:ascii="Times New Roman" w:hAnsi="Times New Roman"/>
          <w:i/>
          <w:color w:val="000000" w:themeColor="text1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i/>
          <w:color w:val="000000" w:themeColor="text1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це єдиний комплекс освітніх компонентів, спланованих і організованих закладом загальної середньої освіти для досягнення учнями результатів навчання. Основою для розроблення освітньої програми є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hyperlink r:id="rId2">
        <w:r>
          <w:rPr>
            <w:rStyle w:val="ListLabel1"/>
            <w:rFonts w:eastAsia="Times New Roman" w:cs="Times New Roman" w:ascii="Times New Roman" w:hAnsi="Times New Roman"/>
            <w:color w:val="000000" w:themeColor="text1"/>
            <w:sz w:val="28"/>
            <w:szCs w:val="28"/>
          </w:rPr>
          <w:t>Державний стандарт загальної середньої освіти відповідного рівня</w:t>
        </w:r>
      </w:hyperlink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(стаття 33 Закону України «Про освіту», стаття 11 Закону України «Про повну загальну середню освіту»).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Метою початкової освіти є 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Інформація про заклад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Тип закладу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–ліцей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Повна назва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– Суховільський ліцей Зимноводівської сільської ради Львівського району Львівської області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Кількість класів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–  8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Кількість учнів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– 156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Мова навчання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– українська, 5-денний режим роботи.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right="85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Структура 2022-2023  навчального року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Навчальні заняття організовуються за семестровою системою: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I семестр —  01.09.22- 30.12.22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- II семестр — 16.01.23- 31.05.2022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Упродовж навчального року для учнів проводяться канікули. Їх загальна  тривалість протягом навчального року становить не менше 30 календарних днів.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Канікули впродовж навчального року: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осінні - з 29.10.22 по 06.11.2022р.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- зимові - з 31.12.22.по 15.01.2023р.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весняні - з 27.03.23 по 02.04.2023р.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Закінчується 2022-2023 навчальний рік проведенням державної підсумкової атестації випускників початкової школи.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Освітня програма на 2022-2023 навчальний рік розроблена відповідно до: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Конституції України;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Закону України «Про освіту» (стаття 33),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Закону України «Про повну загальну середню  освіту» (стаття 11),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Державного стандарту початкової освіти (затвердженого Постановою КМУ від 21 лютого 2018 року  N 87);,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Типової освітньої програми для учнів 1-2 класів закладів загальної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середньої освіти, розробленої під керівництвом Р. Б. Шияна (затвердженої наказом Міністерства освіти і науки України від 12.08.2022 No 743)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Типової освітньої програми для учнів 3-4 класів закладів загальної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середньої освіти, розробленої під керівництвом Р. Б. Шияна (затвердженої наказом Міністерства освіти і науки України від 12.08.2022 No 743),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наказу МОН України від 13.04.2011 № 329 «Про затвердження Критеріїв оцінювання навчальних досягнень учнів (вихованців) у системі загальної середньої освіти»,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наказу МОН України від 16.04.2018 р №367. “Про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освіти”</w:t>
      </w:r>
    </w:p>
    <w:p>
      <w:pPr>
        <w:pStyle w:val="Normal"/>
        <w:numPr>
          <w:ilvl w:val="0"/>
          <w:numId w:val="1"/>
        </w:numPr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«Про забезпечення функціонування української мови як державної» та інших; 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ab/>
        <w:t>Постанови Кабінету Міністрів України від 24 червня 2022 року №711 «Про початок навчального року під час дії правового режиму воєнного стану в Україні»;</w:t>
      </w:r>
    </w:p>
    <w:p>
      <w:pPr>
        <w:pStyle w:val="Normal"/>
        <w:numPr>
          <w:ilvl w:val="0"/>
          <w:numId w:val="1"/>
        </w:numPr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ab/>
        <w:t xml:space="preserve"> Розпорядження Кабінету Міністрів України від 14 грудня 2016 р. № 988- 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 </w:t>
        <w:tab/>
      </w:r>
    </w:p>
    <w:p>
      <w:pPr>
        <w:pStyle w:val="Normal"/>
        <w:numPr>
          <w:ilvl w:val="0"/>
          <w:numId w:val="1"/>
        </w:numPr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ab/>
        <w:t xml:space="preserve">Санітарного регламенту для закладів загальної середньої освіти, затвердженого наказом Міністерства охорони здоров'я України від 25.09.2020 №2205, зареєстрованого в Міністерстві юстиції України 10 листопада 2020 р. за №1111/35394; </w:t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left"/>
        <w:rPr/>
      </w:pPr>
      <w:hyperlink r:id="rId3" w:tgtFrame="_blank">
        <w:r>
          <w:rPr>
            <w:rStyle w:val="Style14"/>
            <w:rFonts w:ascii="Times New Roman" w:hAnsi="Times New Roman"/>
            <w:sz w:val="28"/>
            <w:szCs w:val="28"/>
          </w:rPr>
          <w:t>Листа  МОН від 14.09.2022 № 1/10686-22</w:t>
        </w:r>
      </w:hyperlink>
      <w:r>
        <w:rPr>
          <w:rFonts w:ascii="Times New Roman" w:hAnsi="Times New Roman"/>
          <w:sz w:val="28"/>
          <w:szCs w:val="28"/>
        </w:rPr>
        <w:br/>
        <w:t>Про переліки навчальної літератури та навчальних програм, рекомендованих Міністерством освіти і науки України для використання в освітньому процесі закладів освіти у 2022/2023 навчальному році</w:t>
      </w:r>
    </w:p>
    <w:p>
      <w:pPr>
        <w:pStyle w:val="Style17"/>
        <w:numPr>
          <w:ilvl w:val="0"/>
          <w:numId w:val="1"/>
        </w:numPr>
        <w:tabs>
          <w:tab w:val="left" w:pos="0" w:leader="none"/>
        </w:tabs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Листа МОН України “</w:t>
      </w:r>
      <w:hyperlink r:id="rId4" w:tgtFrame="_blank">
        <w:r>
          <w:rPr>
            <w:rStyle w:val="ListLabel90"/>
            <w:rFonts w:ascii="Times New Roman" w:hAnsi="Times New Roman"/>
            <w:sz w:val="28"/>
            <w:szCs w:val="28"/>
          </w:rPr>
          <w:t>Про організацію освітнього процесу дітей з особливими освітніми потребами у 2022/2023 навчальному році</w:t>
        </w:r>
      </w:hyperlink>
      <w:r>
        <w:rPr>
          <w:rFonts w:ascii="Times New Roman" w:hAnsi="Times New Roman"/>
          <w:sz w:val="28"/>
          <w:szCs w:val="28"/>
        </w:rPr>
        <w:t>”</w:t>
      </w:r>
    </w:p>
    <w:p>
      <w:pPr>
        <w:pStyle w:val="Style17"/>
        <w:numPr>
          <w:ilvl w:val="0"/>
          <w:numId w:val="1"/>
        </w:numPr>
        <w:tabs>
          <w:tab w:val="left" w:pos="0" w:leader="none"/>
        </w:tabs>
        <w:rPr/>
      </w:pPr>
      <w:r>
        <w:rPr>
          <w:rStyle w:val="Style14"/>
          <w:rFonts w:ascii="Times New Roman" w:hAnsi="Times New Roman"/>
          <w:sz w:val="28"/>
          <w:szCs w:val="28"/>
        </w:rPr>
        <w:t>Методичн</w:t>
      </w:r>
      <w:r>
        <w:rPr>
          <w:rStyle w:val="Style14"/>
          <w:rFonts w:ascii="Times New Roman" w:hAnsi="Times New Roman"/>
          <w:sz w:val="28"/>
          <w:szCs w:val="28"/>
          <w:lang w:val="uk-UA"/>
        </w:rPr>
        <w:t xml:space="preserve">их </w:t>
      </w:r>
      <w:r>
        <w:rPr>
          <w:rStyle w:val="Style14"/>
          <w:rFonts w:ascii="Times New Roman" w:hAnsi="Times New Roman"/>
          <w:sz w:val="28"/>
          <w:szCs w:val="28"/>
        </w:rPr>
        <w:t xml:space="preserve"> рекомендаці</w:t>
      </w:r>
      <w:r>
        <w:rPr>
          <w:rStyle w:val="Style14"/>
          <w:rFonts w:ascii="Times New Roman" w:hAnsi="Times New Roman"/>
          <w:sz w:val="28"/>
          <w:szCs w:val="28"/>
          <w:lang w:val="uk-UA"/>
        </w:rPr>
        <w:t xml:space="preserve">й  щодо </w:t>
      </w:r>
      <w:r>
        <w:rPr>
          <w:rStyle w:val="Style14"/>
          <w:rFonts w:ascii="Times New Roman" w:hAnsi="Times New Roman"/>
          <w:sz w:val="28"/>
          <w:szCs w:val="28"/>
        </w:rPr>
        <w:t xml:space="preserve"> до проведення 01 вересня 2022 р. першого уроку: «МИ УКРАЇНЦІ: ЧЕСТЬ І СЛАВА НЕЗЛАМНИМ!»</w:t>
      </w:r>
    </w:p>
    <w:p>
      <w:pPr>
        <w:pStyle w:val="Style17"/>
        <w:numPr>
          <w:ilvl w:val="0"/>
          <w:numId w:val="1"/>
        </w:numPr>
        <w:tabs>
          <w:tab w:val="left" w:pos="0" w:leader="none"/>
        </w:tabs>
        <w:rPr/>
      </w:pPr>
      <w:hyperlink r:id="rId5" w:tgtFrame="_blank">
        <w:r>
          <w:rPr>
            <w:rStyle w:val="Style14"/>
            <w:rFonts w:ascii="Times New Roman" w:hAnsi="Times New Roman"/>
            <w:sz w:val="28"/>
            <w:szCs w:val="28"/>
            <w:lang w:val="uk-UA"/>
          </w:rPr>
          <w:t>Листа  МОН від 06.09.2022 № 1/10258-22</w:t>
        </w:r>
      </w:hyperlink>
    </w:p>
    <w:p>
      <w:pPr>
        <w:pStyle w:val="Style17"/>
        <w:numPr>
          <w:ilvl w:val="0"/>
          <w:numId w:val="1"/>
        </w:numPr>
        <w:tabs>
          <w:tab w:val="left" w:pos="0" w:leader="none"/>
        </w:tabs>
        <w:rPr/>
      </w:pPr>
      <w:hyperlink r:id="rId6" w:tgtFrame="_blank">
        <w:r>
          <w:rPr>
            <w:rStyle w:val="Style14"/>
            <w:rFonts w:ascii="Times New Roman" w:hAnsi="Times New Roman"/>
            <w:sz w:val="28"/>
            <w:szCs w:val="28"/>
            <w:lang w:val="uk-UA"/>
          </w:rPr>
          <w:t>Інструктивно-методичних  рекомендацій щодо організації освітнього процесу і викладання навчальних предметів у школах у 2022/2023 навчальному році</w:t>
        </w:r>
      </w:hyperlink>
    </w:p>
    <w:p>
      <w:pPr>
        <w:pStyle w:val="Style17"/>
        <w:numPr>
          <w:ilvl w:val="0"/>
          <w:numId w:val="1"/>
        </w:numPr>
        <w:tabs>
          <w:tab w:val="left" w:pos="0" w:leader="none"/>
        </w:tabs>
        <w:rPr/>
      </w:pPr>
      <w:hyperlink r:id="rId7" w:tgtFrame="_blank">
        <w:r>
          <w:rPr>
            <w:rStyle w:val="Style14"/>
            <w:rFonts w:ascii="Times New Roman" w:hAnsi="Times New Roman"/>
            <w:sz w:val="28"/>
            <w:szCs w:val="28"/>
            <w:lang w:val="uk-UA"/>
          </w:rPr>
          <w:t>Листа  ІМЗО від 15.08.2022 № 22.1/10-1080</w:t>
        </w:r>
      </w:hyperlink>
      <w:r>
        <w:rPr>
          <w:rFonts w:ascii="Times New Roman" w:hAnsi="Times New Roman"/>
          <w:sz w:val="28"/>
          <w:szCs w:val="28"/>
        </w:rPr>
        <w:br/>
        <w:t>Методичні рекомендації щодо розвитку STEM-освіти в закладах загальної середньої та позашкільної освіти у 2022/2023 навчальному році</w:t>
      </w:r>
    </w:p>
    <w:p>
      <w:pPr>
        <w:pStyle w:val="Style17"/>
        <w:numPr>
          <w:ilvl w:val="0"/>
          <w:numId w:val="1"/>
        </w:numPr>
        <w:tabs>
          <w:tab w:val="left" w:pos="0" w:leader="none"/>
        </w:tabs>
        <w:rPr/>
      </w:pPr>
      <w:hyperlink r:id="rId8" w:tgtFrame="_blank">
        <w:r>
          <w:rPr>
            <w:rStyle w:val="Style14"/>
            <w:rFonts w:eastAsia="" w:cs="" w:ascii="Times New Roman" w:hAnsi="Times New Roman" w:cstheme="minorBidi" w:eastAsiaTheme="minorHAnsi"/>
            <w:sz w:val="28"/>
            <w:szCs w:val="28"/>
            <w:lang w:val="uk-UA"/>
          </w:rPr>
          <w:t>Листа  МОН від 02.08.22 № 1/8794-22</w:t>
        </w:r>
      </w:hyperlink>
      <w:r>
        <w:rPr>
          <w:rFonts w:eastAsia="" w:cs="" w:ascii="Times New Roman" w:hAnsi="Times New Roman" w:cstheme="minorBidi" w:eastAsiaTheme="minorHAnsi"/>
          <w:sz w:val="28"/>
          <w:szCs w:val="28"/>
        </w:rPr>
        <w:br/>
        <w:t>Щодо діяльності психологічної служби у системі освіти в 2022/2023 ​навчальному році</w:t>
      </w:r>
    </w:p>
    <w:p>
      <w:pPr>
        <w:pStyle w:val="Style17"/>
        <w:numPr>
          <w:ilvl w:val="0"/>
          <w:numId w:val="1"/>
        </w:numPr>
        <w:tabs>
          <w:tab w:val="left" w:pos="0" w:leader="none"/>
        </w:tabs>
        <w:rPr/>
      </w:pPr>
      <w:hyperlink r:id="rId9" w:tgtFrame="_blank">
        <w:r>
          <w:rPr>
            <w:rStyle w:val="Style14"/>
            <w:rFonts w:eastAsia="" w:cs="" w:ascii="Times New Roman" w:hAnsi="Times New Roman" w:cstheme="minorBidi" w:eastAsiaTheme="minorHAnsi"/>
            <w:sz w:val="28"/>
            <w:szCs w:val="28"/>
            <w:lang w:val="uk-UA"/>
          </w:rPr>
          <w:t>Листа  МОН від 26.07.22 № 1/8462-22</w:t>
        </w:r>
      </w:hyperlink>
      <w:r>
        <w:rPr>
          <w:rFonts w:eastAsia="" w:cs="" w:ascii="Times New Roman" w:hAnsi="Times New Roman" w:cstheme="minorBidi" w:eastAsiaTheme="minorHAnsi"/>
          <w:sz w:val="28"/>
          <w:szCs w:val="28"/>
        </w:rPr>
        <w:br/>
        <w:t>Про оптимізацію виконання заходів з підготовки закладів освіти до нового навчального року та опалювального сезону в умовах воєнного стану</w:t>
      </w:r>
    </w:p>
    <w:p>
      <w:pPr>
        <w:pStyle w:val="Style17"/>
        <w:numPr>
          <w:ilvl w:val="0"/>
          <w:numId w:val="1"/>
        </w:numPr>
        <w:tabs>
          <w:tab w:val="left" w:pos="0" w:leader="none"/>
        </w:tabs>
        <w:rPr/>
      </w:pPr>
      <w:hyperlink r:id="rId10" w:tgtFrame="_blank">
        <w:r>
          <w:rPr>
            <w:rStyle w:val="Style14"/>
            <w:rFonts w:eastAsia="" w:cs="" w:ascii="Times New Roman" w:hAnsi="Times New Roman" w:cstheme="minorBidi" w:eastAsiaTheme="minorHAnsi"/>
            <w:sz w:val="28"/>
            <w:szCs w:val="28"/>
            <w:lang w:val="uk-UA"/>
          </w:rPr>
          <w:t>Листа  МОН від 11.07.22 № 1/7707-22</w:t>
        </w:r>
      </w:hyperlink>
      <w:r>
        <w:rPr>
          <w:rFonts w:eastAsia="" w:cs="" w:ascii="Times New Roman" w:hAnsi="Times New Roman" w:cstheme="minorBidi" w:eastAsiaTheme="minorHAnsi"/>
          <w:sz w:val="28"/>
          <w:szCs w:val="28"/>
        </w:rPr>
        <w:br/>
        <w:t>Про підготовку закладів освіти до нового навчального року та опалювального сезону в умовах воєнного стану</w:t>
      </w:r>
    </w:p>
    <w:p>
      <w:pPr>
        <w:pStyle w:val="Style17"/>
        <w:numPr>
          <w:ilvl w:val="0"/>
          <w:numId w:val="1"/>
        </w:numPr>
        <w:tabs>
          <w:tab w:val="left" w:pos="0" w:leader="none"/>
        </w:tabs>
        <w:rPr/>
      </w:pPr>
      <w:hyperlink r:id="rId11" w:tgtFrame="_blank">
        <w:r>
          <w:rPr>
            <w:rStyle w:val="Style14"/>
            <w:rFonts w:eastAsia="" w:cs="" w:ascii="Times New Roman" w:hAnsi="Times New Roman" w:cstheme="minorBidi" w:eastAsiaTheme="minorHAnsi"/>
            <w:sz w:val="28"/>
            <w:szCs w:val="28"/>
            <w:lang w:val="uk-UA"/>
          </w:rPr>
          <w:t>Листа  МОН від 27.06.2022 № 1/7035-22</w:t>
        </w:r>
      </w:hyperlink>
      <w:r>
        <w:rPr>
          <w:rFonts w:eastAsia="" w:cs="" w:ascii="Times New Roman" w:hAnsi="Times New Roman" w:cstheme="minorBidi" w:eastAsiaTheme="minorHAnsi"/>
          <w:sz w:val="28"/>
          <w:szCs w:val="28"/>
        </w:rPr>
        <w:br/>
        <w:t>Про підготовку до початку та особливості організації освітнього процесу в 2022/23 навчальному році</w:t>
      </w:r>
    </w:p>
    <w:p>
      <w:pPr>
        <w:pStyle w:val="Style17"/>
        <w:numPr>
          <w:ilvl w:val="0"/>
          <w:numId w:val="1"/>
        </w:numPr>
        <w:tabs>
          <w:tab w:val="left" w:pos="0" w:leader="none"/>
        </w:tabs>
        <w:rPr/>
      </w:pPr>
      <w:hyperlink r:id="rId12" w:tgtFrame="_blank">
        <w:r>
          <w:rPr>
            <w:rStyle w:val="Style14"/>
            <w:rFonts w:eastAsia="" w:cs="" w:ascii="Times New Roman" w:hAnsi="Times New Roman" w:cstheme="minorBidi" w:eastAsiaTheme="minorHAnsi"/>
            <w:sz w:val="28"/>
            <w:szCs w:val="28"/>
          </w:rPr>
          <w:t>Постанова КМУ від 24.06.2022 № 711</w:t>
        </w:r>
      </w:hyperlink>
      <w:r>
        <w:rPr>
          <w:rFonts w:eastAsia="" w:cs="" w:ascii="Times New Roman" w:hAnsi="Times New Roman" w:cstheme="minorBidi" w:eastAsiaTheme="minorHAnsi"/>
          <w:sz w:val="28"/>
          <w:szCs w:val="28"/>
        </w:rPr>
        <w:br/>
        <w:t>Про початок навчального року під час дії правового режиму воєнного стану в Україні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4"/>
        </w:rPr>
        <w:t>навчальних програм, підручників та навчально-методичних посібників, рекомендованих МОН України (лист МОН про перелік навчальної літератури, рекомендованої МОН України для використання у ЗО у відповідному навчальному році).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Головними завданнями закладу освіти є: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- сприяння в реалізації державної політики у галузі освіти з врахуванням особливостей соціально-культурного середовища ;  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забезпечення реалізації права громадян на повну загальну середню освіту;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виконання Державного стандарту початкової освіти;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виховання шанобливого ставлення до родини, поваги до народних традицій і звичаїв, державної мови, національних цінностей українського народу та інших народів і націй;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формування і розвиток соціальних навичок, розвиток творчої особистості з усвідомленою громадянською позицією, почуттям національної  самосвідомості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обов’язків людини і громадянина;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розвиток особистості учасників освітнього процесу, його здібностей і обдарувань, наукового світогляду;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реалізація права учнів на вільне формування політичних і світоглядних переконань;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формування в учасників освітнього процесу свідомого й відповідального ставлення до власного здоров’я та здоров’я оточуючих, навичок безпечної поведінки;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- створення умов для оволодіння системою наукових знань про природу, людину і суспільство.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Заклад освіти у своїй діяльності керується Конституцією та законами України, актами Президента України, Кабінету Міністрів України, Міністерства освіти і науки України, ухвалами Зимноводівської сільської  ради, рішеннями виконавчого комітету, розпорядженнями, наказами Департаменту  освіти  Львівської ОДА та відділу освіти, молоді та спорту Зимноводівської сільської ради іншими нормативно-правовими актами та цим Статутом.  </w:t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/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2.ВИМОГИ ДО ОСІБ, ЯКІ МОЖУТЬ РОЗПОЧИНАТИ ЗДОБУТТЯ ОСВІТИ У ЗАКЛАДІ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Початкова освіта здобувається, як правило, з шести років. Діти, яким на 1 вересня поточного навчального року виповнилося сім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Особи з особливими освітніми потребами можуть розпочинати здобуття початкової освіти з іншого віку.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учнів, які мають її відвідувати.</w:t>
      </w:r>
    </w:p>
    <w:p>
      <w:pPr>
        <w:pStyle w:val="Normal"/>
        <w:widowControl w:val="false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Зарахування учнів до закладу освіти здійснюється на основі чинних нормативно-правових актів.  </w:t>
      </w:r>
    </w:p>
    <w:p>
      <w:pPr>
        <w:pStyle w:val="Normal"/>
        <w:widowControl/>
        <w:spacing w:lineRule="auto" w:line="384" w:before="0" w:after="0"/>
        <w:ind w:left="0" w:right="0" w:hanging="0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</w:rPr>
        <w:t xml:space="preserve"> </w:t>
      </w:r>
    </w:p>
    <w:p>
      <w:pPr>
        <w:pStyle w:val="Normal"/>
        <w:widowControl/>
        <w:spacing w:lineRule="auto" w:line="384" w:before="0" w:after="0"/>
        <w:ind w:left="0" w:right="0" w:hanging="0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</w:rPr>
        <w:t>Розділ 3. Опис “моделі” випускника школи</w:t>
      </w:r>
    </w:p>
    <w:p>
      <w:pPr>
        <w:pStyle w:val="Normal"/>
        <w:widowControl/>
        <w:spacing w:lineRule="auto" w:line="384"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 xml:space="preserve">Модель випускника </w:t>
      </w:r>
      <w:r>
        <w:rPr>
          <w:rStyle w:val="Style15"/>
          <w:rFonts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Нової Української Школи</w:t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–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це необхідна основа для сміливих і успішних кроків у своє майбутнє. Всі інші здобутки у сфері компетентності може принести людині лише наполеглива цілеспрямована праця, бажання вчитися і ділитися досвідом з іншими.</w:t>
      </w:r>
    </w:p>
    <w:p>
      <w:pPr>
        <w:pStyle w:val="Normal"/>
        <w:widowControl/>
        <w:spacing w:lineRule="auto" w:line="384" w:before="0" w:after="0"/>
        <w:ind w:left="0" w:right="0" w:hanging="0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Випускник школи має міцні знання і вміло користується ними. Знання та вміння отримані учнем тісно взаємопов’язані з його ціннісними орієнтирами.</w:t>
      </w:r>
    </w:p>
    <w:p>
      <w:pPr>
        <w:pStyle w:val="Normal"/>
        <w:widowControl/>
        <w:spacing w:lineRule="auto" w:line="384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Набуті життєві компетентності випускник вміло використовує для успішної самореалізації у житті, навчанні та праці. Він вміє критично мислити, логічно обґрунтовувати позицію, виявляти ініціативу, творити, вирішувати проблеми, оцінювати ризики та приймати рішення.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5689600"/>
            <wp:effectExtent l="0" t="0" r="0" b="0"/>
            <wp:wrapSquare wrapText="largest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widowControl w:val="false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widowControl w:val="false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4. НАВЧАЛЬНИЙ ПЛАН ТА ЙОГО ОБГРУНТУВАННЯ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Навчальний план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 2022-2023 навчальний рік складено відповідно до вимог Закону України «Про освіту»; Постанови Кабінету Міністрів України від 21.02.2018 № 87 «Про затвердження Державного стандарту початкової освіти».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Навчальний план на 2022-2023 н. р. для першого та другого класів розроблено на основі типової освітньої програми для 1-2 класів (автор – ШИЯН) затвердженої наказом Міністерства освіти і науки України  від 08.10.2019 № 1272 «Про затвердження типових освітніх навчальних програм для 1-2 класів закладів загальної середньої освіти»  та типової освітньої програми для 3-4 класів (автор – ШИЯН ) затвердженої наказом МОН України від 08.10.2019 № 1273 «Про затвердження типових освітніх навчальних програм для 3-4 класів закладів загальної середньої освіти». </w:t>
      </w:r>
    </w:p>
    <w:p>
      <w:pPr>
        <w:pStyle w:val="Normal"/>
        <w:shd w:val="clear" w:color="auto" w:fill="FFFFFF"/>
        <w:tabs>
          <w:tab w:val="left" w:pos="900" w:leader="none"/>
        </w:tabs>
        <w:spacing w:lineRule="auto" w:line="276" w:before="0" w:after="0"/>
        <w:ind w:right="85"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Навчальний план Суховільського ліцею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охоплює інваріантну складову, сформовану на державному рівні, та варіативну складову, в якій передбачено збільшення годин на вивчення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української мови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інваріантної складової. </w:t>
      </w:r>
    </w:p>
    <w:p>
      <w:pPr>
        <w:pStyle w:val="Normal"/>
        <w:shd w:val="clear" w:color="auto" w:fill="FFFFFF"/>
        <w:tabs>
          <w:tab w:val="left" w:pos="900" w:leader="none"/>
        </w:tabs>
        <w:spacing w:lineRule="auto" w:line="276" w:before="0" w:after="0"/>
        <w:ind w:right="85" w:firstLine="567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  <w:t>Організовано поділ на групи при вивченні інформатики, крім 2 А класу.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Повноцінність  загальної середньої освіти забезпечується реалізацією як інваріантної, так і варіативної частин робочого навчального плану. З метою забезпечення виконання Державного стандарту освіти забезпечено викладання предметів інваріантної складової, що визначені Типовими навчальними планами для кожного класу, в повному обсязі.</w:t>
      </w:r>
    </w:p>
    <w:p>
      <w:pPr>
        <w:pStyle w:val="Normal"/>
        <w:shd w:val="clear" w:color="auto" w:fill="FFFFFF"/>
        <w:spacing w:lineRule="auto" w:line="276" w:before="0" w:after="0"/>
        <w:ind w:right="85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При розподілі годин варіативної складової робочого навчального плану враховано, що гранично допустиме навантаження вираховується на одного учня, а уроки фізичної культури не враховуються при визначенні цього показника. </w:t>
      </w:r>
    </w:p>
    <w:p>
      <w:pPr>
        <w:pStyle w:val="Normal"/>
        <w:shd w:val="clear" w:color="auto" w:fill="FFFFFF"/>
        <w:spacing w:lineRule="auto" w:line="276" w:before="0" w:after="0"/>
        <w:ind w:right="85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Години варіативної складової робочого навчального плану учнів початкової школи використано на підсилення вивчення  української мови як державної. Мистецька галузь мистецтво реалізується через інтегрований предмет  “Мистецтво”</w:t>
      </w:r>
    </w:p>
    <w:p>
      <w:pPr>
        <w:pStyle w:val="Normal"/>
        <w:shd w:val="clear" w:color="auto" w:fill="FFFFFF"/>
        <w:spacing w:lineRule="auto" w:line="276" w:before="0" w:after="0"/>
        <w:ind w:right="85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yellow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  <w:r>
        <w:br w:type="page"/>
      </w:r>
    </w:p>
    <w:p>
      <w:pPr>
        <w:pStyle w:val="Normal"/>
        <w:spacing w:lineRule="auto" w:line="24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/>
          <w:b/>
          <w:bCs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Навчальний план  (НУШ) Суховільського ліцею на   202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2</w:t>
      </w:r>
      <w:r>
        <w:rPr>
          <w:rFonts w:cs="Times New Roman" w:ascii="Times New Roman" w:hAnsi="Times New Roman"/>
          <w:b/>
          <w:bCs/>
          <w:sz w:val="24"/>
          <w:szCs w:val="24"/>
        </w:rPr>
        <w:t>-202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н.р.</w:t>
      </w:r>
    </w:p>
    <w:p>
      <w:pPr>
        <w:pStyle w:val="Normal"/>
        <w:spacing w:lineRule="auto" w:line="240"/>
        <w:rPr>
          <w:rFonts w:eastAsia="Times New Roman" w:cs="Times New Roman"/>
          <w:b/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</w:r>
    </w:p>
    <w:tbl>
      <w:tblPr>
        <w:tblW w:w="10435" w:type="dxa"/>
        <w:jc w:val="left"/>
        <w:tblInd w:w="-837" w:type="dxa"/>
        <w:tblBorders>
          <w:top w:val="single" w:sz="2" w:space="0" w:color="000001"/>
          <w:left w:val="single" w:sz="4" w:space="0" w:color="00000A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21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510"/>
        <w:gridCol w:w="3180"/>
        <w:gridCol w:w="735"/>
        <w:gridCol w:w="617"/>
        <w:gridCol w:w="569"/>
        <w:gridCol w:w="855"/>
        <w:gridCol w:w="1"/>
        <w:gridCol w:w="1"/>
        <w:gridCol w:w="854"/>
        <w:gridCol w:w="1"/>
        <w:gridCol w:w="1"/>
        <w:gridCol w:w="778"/>
        <w:gridCol w:w="1"/>
        <w:gridCol w:w="1"/>
        <w:gridCol w:w="755"/>
        <w:gridCol w:w="1"/>
        <w:gridCol w:w="1"/>
        <w:gridCol w:w="674"/>
        <w:gridCol w:w="1"/>
        <w:gridCol w:w="1"/>
        <w:gridCol w:w="896"/>
      </w:tblGrid>
      <w:tr>
        <w:trPr/>
        <w:tc>
          <w:tcPr>
            <w:tcW w:w="510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80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Навчальні предмети</w:t>
            </w:r>
          </w:p>
        </w:tc>
        <w:tc>
          <w:tcPr>
            <w:tcW w:w="277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Кількість годин на тиждень у класах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1А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1Б</w:t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2А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2Б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3А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3Б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4А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4Б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6467" w:type="dxa"/>
            <w:gridSpan w:val="7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                                  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Інваріантна складова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97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51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Українська мова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5+1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5+1</w:t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5+1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5+1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5+1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5+1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5+1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5+1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left"/>
              <w:rPr>
                <w:b w:val="false"/>
                <w:b w:val="false"/>
                <w:bCs w:val="false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40+8</w:t>
            </w:r>
          </w:p>
        </w:tc>
      </w:tr>
      <w:tr>
        <w:trPr>
          <w:trHeight w:val="402" w:hRule="atLeast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Англійська мова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676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28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Математика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30</w:t>
            </w:r>
            <w:bookmarkStart w:id="2" w:name="__UnoMark__2498_3813365783"/>
            <w:bookmarkEnd w:id="2"/>
          </w:p>
        </w:tc>
      </w:tr>
      <w:tr>
        <w:trPr>
          <w:trHeight w:val="251" w:hRule="atLeast"/>
        </w:trPr>
        <w:tc>
          <w:tcPr>
            <w:tcW w:w="51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Я досліджую світ :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51" w:hRule="atLeast"/>
        </w:trPr>
        <w:tc>
          <w:tcPr>
            <w:tcW w:w="510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Мовно-літературна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16</w:t>
            </w:r>
          </w:p>
        </w:tc>
      </w:tr>
      <w:tr>
        <w:trPr>
          <w:trHeight w:val="284" w:hRule="atLeast"/>
        </w:trPr>
        <w:tc>
          <w:tcPr>
            <w:tcW w:w="510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Математична 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510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Природнича 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676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217" w:hRule="atLeast"/>
        </w:trPr>
        <w:tc>
          <w:tcPr>
            <w:tcW w:w="510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Технологічна 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184" w:hRule="atLeast"/>
        </w:trPr>
        <w:tc>
          <w:tcPr>
            <w:tcW w:w="510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Соціальна здоров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’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я збережна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676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201" w:hRule="atLeast"/>
        </w:trPr>
        <w:tc>
          <w:tcPr>
            <w:tcW w:w="510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 xml:space="preserve">Громадянська та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і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сторична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676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201" w:hRule="atLeast"/>
        </w:trPr>
        <w:tc>
          <w:tcPr>
            <w:tcW w:w="510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Інформатика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1/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676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2/1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Мистецтво (інтегрований курс)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16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Фізична культура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24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Інформатика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1/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6/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Усього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22+1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22+1</w:t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24+1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24/1+1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25/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en-US"/>
              </w:rPr>
              <w:t>1+1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25/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en-US"/>
              </w:rPr>
              <w:t>1+1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en-US"/>
              </w:rPr>
              <w:t>25/1+1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en-US"/>
              </w:rPr>
              <w:t>25/1+1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192/5</w:t>
            </w:r>
            <w:r>
              <w:rPr>
                <w:b w:val="false"/>
                <w:bCs w:val="false"/>
                <w:sz w:val="24"/>
                <w:szCs w:val="24"/>
                <w:lang w:val="uk-UA"/>
              </w:rPr>
              <w:t>+8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25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27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27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27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27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22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205</w:t>
            </w:r>
          </w:p>
        </w:tc>
      </w:tr>
      <w:tr>
        <w:trPr/>
        <w:tc>
          <w:tcPr>
            <w:tcW w:w="6467" w:type="dxa"/>
            <w:gridSpan w:val="7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Варіативна складова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9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Гранично допустиме тижневе навчальне навантаження на учня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22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</w:t>
            </w:r>
          </w:p>
        </w:tc>
        <w:tc>
          <w:tcPr>
            <w:tcW w:w="8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26</w:t>
            </w:r>
          </w:p>
        </w:tc>
        <w:tc>
          <w:tcPr>
            <w:tcW w:w="7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26</w:t>
            </w:r>
          </w:p>
        </w:tc>
        <w:tc>
          <w:tcPr>
            <w:tcW w:w="7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26</w:t>
            </w:r>
          </w:p>
        </w:tc>
        <w:tc>
          <w:tcPr>
            <w:tcW w:w="6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26</w:t>
            </w:r>
          </w:p>
        </w:tc>
        <w:tc>
          <w:tcPr>
            <w:tcW w:w="8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5.ЗАГАЛЬНИЙ ОБСЯГ НАВЧАЛЬНОГО НАВАНТАЖЕННЯ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Загальний обсяг навчального навантаження та орієнтовна тривалість</w:t>
      </w:r>
      <w:r>
        <w:rPr>
          <w:rFonts w:cs="Times New Roman" w:ascii="Times New Roman" w:hAnsi="Times New Roman"/>
          <w:sz w:val="28"/>
          <w:szCs w:val="28"/>
        </w:rPr>
        <w:t xml:space="preserve"> і можливі взаємозв’язки освітніх галузей, предметів, дисциплін визначено у типовому навчальному плані.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Логічна послідовність вивчення предметів розкривається у відповідних навчальних програмах.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Перелік та пропонований зміст освітніх галузей.</w:t>
      </w:r>
      <w:r>
        <w:rPr>
          <w:rFonts w:cs="Times New Roman" w:ascii="Times New Roman" w:hAnsi="Times New Roman"/>
          <w:sz w:val="28"/>
          <w:szCs w:val="28"/>
        </w:rPr>
        <w:t xml:space="preserve"> Освітню програму укладено за такими освітніми галузями: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Мовно-літературна, у тому числі: 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Рідномовна освіта (українська мова та література; мови та літератури корінних народів та національних меншин) (МОВ 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Іншомовна освіта (ІНО) 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Математична (МАО)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Природнича (ПРО)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Технологічна (ТЕО)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Інформатична (ІФО)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Соціальна і здоров’язбережувальна (СЗО)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Громадянська та історична (ГІО)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Мистецька (МИО) Фізкультурна (ФІО)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Очікувані результати навчання здобувачів освіти.</w:t>
      </w:r>
      <w:r>
        <w:rPr>
          <w:rFonts w:cs="Times New Roman" w:ascii="Times New Roman" w:hAnsi="Times New Roman"/>
          <w:sz w:val="28"/>
          <w:szCs w:val="28"/>
        </w:rPr>
        <w:t xml:space="preserve"> Відповідно до мети та загальних цілей, окреслених у Державному стандарті початкової освіти, визначено завдання, які має реалізувати вчитель/вчителька у рамках кожної галузі. Вони наведені в типових освітніх програмах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6. ФОРМИ ОРГАНІЗАЦІЇ ОСВІТНЬОГО ПРОЦЕСУ.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Основними формами організації освітнього процесу є різні типи уроку: формування компетентностей; розвитку компетентностей; перевірки та/або оцінювання досягнення компетентностей; корекції основних компетентностей; комбінований урок; використання технологій дистанційного навчання.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Також передбачені екскурсії, віртуальні подорожі, уроки-семінари, квести, інтерактивні уроки (уроки-«суди», урок-дискусійна група, уроки з навчанням одних учнів іншими), інтегровані уроки, відео-уроки, ділові ігри тощо. Вибір форм і методів навчання вчитель визначає самостійно, забезпечуючи досягнення очікуваних результатів, зазначених у навчальних програмах з предмету.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 закладі широко впроваджуються інформаційно-комунікативні технології.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діяльності. Серед засобів, що можуть використовуватися, мультимедійні презентації, проекти, онлайн тести, програмні засоби навчання та інше. Це дозволяє формувати позитивну мотивацію учнів до навчальної діяльності, критичне і логічне мислення, вміння приймати рішення, співпрацювати в команді, бути конкурентоздатними та впевненими особистостями.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Заклад освіти може створювати у своєму складі класи (групи) з поглибленим вивченням окремих предметів, інклюзивні класи для навчання дітей з особливими освітніми потребами. Освітня програма передбачає освітні компоненти для вільного вибору здобувачів освіти; має корекційно-розвитковий складник для осіб з особливими освітніми потребами.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Індивідуальне навчання та навчання екстерном у ліцеї організовується відповідно до Положення про індивідуальне навчання, затвердженого наказом МОН України  12.01.2016 №8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7.ІНСТРУМЕНТАРІЙ ОЦІНЮВАННЯ НАВЧАЛЬНИХ ДОСЯГНЕНЬ ЗДОБУВАЧІВ ОСВІТИ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Контроль і оцінювання навчальних досягнень здобувачів освіти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Упродовж навчання в початковій школі здобувачі освіти опановують способи самоконтролю, саморефлексії і самооцінювання,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Навчальні досягнення здобувачів освіти у 1-4 класах підлягають вербальному, формувальному оцінюванню.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Підсумкове оцінювання передбачає зіставлення навчальних досягнень здобувачів з конкретними очікуваними результатами навчання, визначеними типовою освітньою програмою.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Навчальні досягнення здобувачів у 3-4 класах підлягають формувальному та підсумковому (тематичному і завершальному) оцінюванню.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Підсумкове оцінювання передбачає зіставлення навчальних досягнень здобувачів з очікуваними результатами навчання, визначеними освітньою програмою.</w:t>
      </w:r>
    </w:p>
    <w:p>
      <w:pPr>
        <w:pStyle w:val="Normal"/>
        <w:tabs>
          <w:tab w:val="left" w:pos="540" w:leader="none"/>
        </w:tabs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Здобувачі початкової освіти проходять державну підсумкову атестацію, яка здійснюється лише з метою моніторингу якості освітньої діяльності закладів освіти та (або) якості освіти. Державна підсумкова атестація учнів 4-х класів проводиться відповідно до Порядку проведення державної підсумкової атестації, затвердженого наказом Міністерства освіти і науки України від 07.12.2018 №1369, зареєстрованого у Міністерстві юстиції України 02.01.2019 №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8/32979.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мети і завдань початкової освіти та вчасно приймати необхідні педагогічні рішен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8.ПРОГРАМНО-МЕТОДИЧНЕ ЗАБЕЗПЕЧЕННЯ ОСВІТНЬОЇ ПРОГРАМИ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Для виконання освітньої програми закладу на 2022/2023 навчальний рік передбачено використання, затверджених Міністерством освіти і науки України, навчальних програм з усіх предметів інваріатної частини; факультативів варіативної складової, що забезпечує інтеграцію загальноосвітніх програм, у єдину освітню програму, що дозволяє одержати запланований результат освіти. </w:t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Перелік навчальних програм для 1-4-х класів (НУШ)</w:t>
      </w:r>
    </w:p>
    <w:tbl>
      <w:tblPr>
        <w:tblStyle w:val="a3"/>
        <w:tblW w:w="962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"/>
        <w:gridCol w:w="9101"/>
      </w:tblGrid>
      <w:tr>
        <w:trPr/>
        <w:tc>
          <w:tcPr>
            <w:tcW w:w="52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910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Назва навчальної програми</w:t>
            </w:r>
          </w:p>
        </w:tc>
      </w:tr>
      <w:tr>
        <w:trPr/>
        <w:tc>
          <w:tcPr>
            <w:tcW w:w="52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10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Типова освітня програма для 1-2 класів (автор Шиян Р.Б.), (затверджена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наказом МОН України від 08.10.2019 № 1272)</w:t>
            </w:r>
          </w:p>
        </w:tc>
      </w:tr>
      <w:tr>
        <w:trPr/>
        <w:tc>
          <w:tcPr>
            <w:tcW w:w="52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910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Типова освітня програма для 3-4 класів (автор Шиян Р.Б..), (затверджена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uk-UA"/>
              </w:rPr>
              <w:t>наказом МОН України від 08.10.2019 № 1273)</w:t>
            </w:r>
          </w:p>
        </w:tc>
      </w:tr>
    </w:tbl>
    <w:p>
      <w:pPr>
        <w:pStyle w:val="Normal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uk-UA" w:eastAsia="zh-CN" w:bidi="hi-IN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Style14">
    <w:name w:val="Гіперпосилання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Style15">
    <w:name w:val="Виділення жирним"/>
    <w:qFormat/>
    <w:rPr>
      <w:b/>
      <w:bCs/>
    </w:rPr>
  </w:style>
  <w:style w:type="character" w:styleId="ListLabel4">
    <w:name w:val="ListLabel 4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5">
    <w:name w:val="ListLabel 5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6">
    <w:name w:val="ListLabel 6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7">
    <w:name w:val="ListLabel 7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8">
    <w:name w:val="ListLabel 8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9">
    <w:name w:val="ListLabel 9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94">
    <w:name w:val="ListLabel 94"/>
    <w:qFormat/>
    <w:rPr>
      <w:rFonts w:ascii="Times New Roman" w:hAnsi="Times New Roman" w:cs="OpenSymbol"/>
      <w:sz w:val="28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12">
    <w:name w:val="ListLabel 112"/>
    <w:qFormat/>
    <w:rPr>
      <w:rFonts w:ascii="Times New Roman" w:hAnsi="Times New Roman"/>
      <w:sz w:val="28"/>
      <w:szCs w:val="28"/>
    </w:rPr>
  </w:style>
  <w:style w:type="character" w:styleId="ListLabel90">
    <w:name w:val="ListLabel 90"/>
    <w:qFormat/>
    <w:rPr/>
  </w:style>
  <w:style w:type="character" w:styleId="ListLabel113">
    <w:name w:val="ListLabel 113"/>
    <w:qFormat/>
    <w:rPr>
      <w:rFonts w:ascii="Times New Roman" w:hAnsi="Times New Roman"/>
      <w:sz w:val="28"/>
      <w:szCs w:val="28"/>
    </w:rPr>
  </w:style>
  <w:style w:type="character" w:styleId="ListLabel114">
    <w:name w:val="ListLabel 114"/>
    <w:qFormat/>
    <w:rPr>
      <w:rFonts w:ascii="Times New Roman" w:hAnsi="Times New Roman"/>
      <w:sz w:val="28"/>
      <w:szCs w:val="28"/>
      <w:lang w:val="uk-UA"/>
    </w:rPr>
  </w:style>
  <w:style w:type="character" w:styleId="ListLabel115">
    <w:name w:val="ListLabel 115"/>
    <w:qFormat/>
    <w:rPr>
      <w:rFonts w:ascii="Times New Roman" w:hAnsi="Times New Roman" w:eastAsia="" w:cs="" w:cstheme="minorBidi" w:eastAsiaTheme="minorHAnsi"/>
      <w:sz w:val="28"/>
      <w:szCs w:val="28"/>
      <w:lang w:val="uk-UA"/>
    </w:rPr>
  </w:style>
  <w:style w:type="character" w:styleId="ListLabel116">
    <w:name w:val="ListLabel 116"/>
    <w:qFormat/>
    <w:rPr>
      <w:rFonts w:ascii="Times New Roman" w:hAnsi="Times New Roman" w:eastAsia="" w:cs="" w:cstheme="minorBidi" w:eastAsiaTheme="minorHAnsi"/>
      <w:sz w:val="28"/>
      <w:szCs w:val="28"/>
    </w:rPr>
  </w:style>
  <w:style w:type="character" w:styleId="ListLabel117">
    <w:name w:val="ListLabel 117"/>
    <w:qFormat/>
    <w:rPr>
      <w:rFonts w:cs="OpenSymbol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127">
    <w:name w:val="ListLabel 127"/>
    <w:qFormat/>
    <w:rPr>
      <w:rFonts w:ascii="Times New Roman" w:hAnsi="Times New Roman"/>
      <w:sz w:val="28"/>
      <w:szCs w:val="28"/>
    </w:rPr>
  </w:style>
  <w:style w:type="character" w:styleId="ListLabel128">
    <w:name w:val="ListLabel 128"/>
    <w:qFormat/>
    <w:rPr>
      <w:rFonts w:ascii="Times New Roman" w:hAnsi="Times New Roman"/>
      <w:sz w:val="28"/>
      <w:szCs w:val="28"/>
    </w:rPr>
  </w:style>
  <w:style w:type="character" w:styleId="ListLabel129">
    <w:name w:val="ListLabel 129"/>
    <w:qFormat/>
    <w:rPr>
      <w:rFonts w:ascii="Times New Roman" w:hAnsi="Times New Roman"/>
      <w:sz w:val="28"/>
      <w:szCs w:val="28"/>
      <w:lang w:val="uk-UA"/>
    </w:rPr>
  </w:style>
  <w:style w:type="character" w:styleId="ListLabel130">
    <w:name w:val="ListLabel 130"/>
    <w:qFormat/>
    <w:rPr>
      <w:rFonts w:ascii="Times New Roman" w:hAnsi="Times New Roman" w:eastAsia="" w:cs="" w:cstheme="minorBidi" w:eastAsiaTheme="minorHAnsi"/>
      <w:sz w:val="28"/>
      <w:szCs w:val="28"/>
      <w:lang w:val="uk-UA"/>
    </w:rPr>
  </w:style>
  <w:style w:type="character" w:styleId="ListLabel131">
    <w:name w:val="ListLabel 131"/>
    <w:qFormat/>
    <w:rPr>
      <w:rFonts w:ascii="Times New Roman" w:hAnsi="Times New Roman" w:eastAsia="" w:cs="" w:cstheme="minorBidi" w:eastAsiaTheme="minorHAnsi"/>
      <w:sz w:val="28"/>
      <w:szCs w:val="28"/>
    </w:rPr>
  </w:style>
  <w:style w:type="character" w:styleId="ListLabel132">
    <w:name w:val="ListLabel 132"/>
    <w:qFormat/>
    <w:rPr>
      <w:rFonts w:cs="OpenSymbol"/>
      <w:sz w:val="28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142">
    <w:name w:val="ListLabel 142"/>
    <w:qFormat/>
    <w:rPr>
      <w:rFonts w:ascii="Times New Roman" w:hAnsi="Times New Roman"/>
      <w:sz w:val="28"/>
      <w:szCs w:val="28"/>
    </w:rPr>
  </w:style>
  <w:style w:type="character" w:styleId="ListLabel143">
    <w:name w:val="ListLabel 143"/>
    <w:qFormat/>
    <w:rPr>
      <w:rFonts w:ascii="Times New Roman" w:hAnsi="Times New Roman"/>
      <w:sz w:val="28"/>
      <w:szCs w:val="28"/>
    </w:rPr>
  </w:style>
  <w:style w:type="character" w:styleId="ListLabel144">
    <w:name w:val="ListLabel 144"/>
    <w:qFormat/>
    <w:rPr>
      <w:rFonts w:ascii="Times New Roman" w:hAnsi="Times New Roman"/>
      <w:sz w:val="28"/>
      <w:szCs w:val="28"/>
      <w:lang w:val="uk-UA"/>
    </w:rPr>
  </w:style>
  <w:style w:type="character" w:styleId="ListLabel145">
    <w:name w:val="ListLabel 145"/>
    <w:qFormat/>
    <w:rPr>
      <w:rFonts w:ascii="Times New Roman" w:hAnsi="Times New Roman" w:eastAsia="" w:cs="" w:cstheme="minorBidi" w:eastAsiaTheme="minorHAnsi"/>
      <w:sz w:val="28"/>
      <w:szCs w:val="28"/>
      <w:lang w:val="uk-UA"/>
    </w:rPr>
  </w:style>
  <w:style w:type="character" w:styleId="ListLabel146">
    <w:name w:val="ListLabel 146"/>
    <w:qFormat/>
    <w:rPr>
      <w:rFonts w:ascii="Times New Roman" w:hAnsi="Times New Roman" w:eastAsia="" w:cs="" w:cstheme="minorBidi" w:eastAsiaTheme="minorHAnsi"/>
      <w:sz w:val="28"/>
      <w:szCs w:val="28"/>
    </w:rPr>
  </w:style>
  <w:style w:type="character" w:styleId="ListLabel147">
    <w:name w:val="ListLabel 147"/>
    <w:qFormat/>
    <w:rPr>
      <w:rFonts w:cs="OpenSymbol"/>
      <w:sz w:val="28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ascii="Times New Roman" w:hAnsi="Times New Roman" w:eastAsia="Times New Roman" w:cs="Times New Roman"/>
      <w:color w:val="000000" w:themeColor="text1"/>
      <w:sz w:val="28"/>
      <w:szCs w:val="28"/>
    </w:rPr>
  </w:style>
  <w:style w:type="character" w:styleId="ListLabel157">
    <w:name w:val="ListLabel 157"/>
    <w:qFormat/>
    <w:rPr>
      <w:rFonts w:ascii="Times New Roman" w:hAnsi="Times New Roman"/>
      <w:sz w:val="28"/>
      <w:szCs w:val="28"/>
    </w:rPr>
  </w:style>
  <w:style w:type="character" w:styleId="ListLabel158">
    <w:name w:val="ListLabel 158"/>
    <w:qFormat/>
    <w:rPr>
      <w:rFonts w:ascii="Times New Roman" w:hAnsi="Times New Roman"/>
      <w:sz w:val="28"/>
      <w:szCs w:val="28"/>
    </w:rPr>
  </w:style>
  <w:style w:type="character" w:styleId="ListLabel159">
    <w:name w:val="ListLabel 159"/>
    <w:qFormat/>
    <w:rPr>
      <w:rFonts w:ascii="Times New Roman" w:hAnsi="Times New Roman"/>
      <w:sz w:val="28"/>
      <w:szCs w:val="28"/>
      <w:lang w:val="uk-UA"/>
    </w:rPr>
  </w:style>
  <w:style w:type="character" w:styleId="ListLabel160">
    <w:name w:val="ListLabel 160"/>
    <w:qFormat/>
    <w:rPr>
      <w:rFonts w:ascii="Times New Roman" w:hAnsi="Times New Roman" w:eastAsia="" w:cs="" w:cstheme="minorBidi" w:eastAsiaTheme="minorHAnsi"/>
      <w:sz w:val="28"/>
      <w:szCs w:val="28"/>
      <w:lang w:val="uk-UA"/>
    </w:rPr>
  </w:style>
  <w:style w:type="character" w:styleId="ListLabel161">
    <w:name w:val="ListLabel 161"/>
    <w:qFormat/>
    <w:rPr>
      <w:rFonts w:ascii="Times New Roman" w:hAnsi="Times New Roman" w:eastAsia="" w:cs="" w:cstheme="minorBidi" w:eastAsiaTheme="minorHAnsi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Style21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2">
    <w:name w:val="Вміст таблиці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1392-2011-&#1087;" TargetMode="External"/><Relationship Id="rId3" Type="http://schemas.openxmlformats.org/officeDocument/2006/relationships/hyperlink" Target="https://mon.gov.ua/ua/npa/pro-pereliki-navchalnoyi-literaturi-ta-navchalnih-program-rekomendovanih-ministerstvom-osviti-i-nauki-ukrayini-dlya-vikoristannya-v-osvitnomu-procesi-zakladiv-osviti-u-20222023-navchalnomu-roci" TargetMode="External"/><Relationship Id="rId4" Type="http://schemas.openxmlformats.org/officeDocument/2006/relationships/hyperlink" Target="https://mon.gov.ua/ua/npa/pro-organizaciyu-osvitnogo-procesu-ditej-z-osoblivimi-osvitnimi-potrebami-u-20222023-navchalnomu-roci" TargetMode="External"/><Relationship Id="rId5" Type="http://schemas.openxmlformats.org/officeDocument/2006/relationships/hyperlink" Target="https://mon.gov.ua/ua/npa/pro-organizaciyu-osvitnogo-procesu-ditej-z-osoblivimi-osvitnimi-potrebami-u-20222023-navchalnomu-roci" TargetMode="External"/><Relationship Id="rId6" Type="http://schemas.openxmlformats.org/officeDocument/2006/relationships/hyperlink" Target="https://mon.gov.ua/ua/osvita/zagalna-serednya-osvita/metodichni-rekomendaciyi" TargetMode="External"/><Relationship Id="rId7" Type="http://schemas.openxmlformats.org/officeDocument/2006/relationships/hyperlink" Target="https://imzo.gov.ua/2022/08/15/lyst-imzo-vid-15-08-2022-22-1-10-1080-metodychni-rekomendatsii-shchodo-rozvytku-stem-osvity-v-zakladakh-zahal-noi-seredn-oi-ta-pozashkil-noi-osvity-u-2022-2023-navchal-nomu-rotsi/" TargetMode="External"/><Relationship Id="rId8" Type="http://schemas.openxmlformats.org/officeDocument/2006/relationships/hyperlink" Target="https://mon.gov.ua/ua/npa/shodo-diyalnosti-psihologichnoyi-sluzhbi-u-sistemi-osviti-v-20222023-navchalnomu-roci" TargetMode="External"/><Relationship Id="rId9" Type="http://schemas.openxmlformats.org/officeDocument/2006/relationships/hyperlink" Target="https://mon.gov.ua/ua/npa/pro-pidgotovku-zakladiv-osviti-do-novogo-navchalnogo-roku-ta-opalyuvalnogo-sezonu-v-umovah-voyennogo-stanu" TargetMode="External"/><Relationship Id="rId10" Type="http://schemas.openxmlformats.org/officeDocument/2006/relationships/hyperlink" Target="http://osvita.ua/doc/files/news/868/86842/62cc1c5bc9c53072014177.pdf" TargetMode="External"/><Relationship Id="rId11" Type="http://schemas.openxmlformats.org/officeDocument/2006/relationships/hyperlink" Target="https://drive.google.com/file/d/1rWotWfgj7T7OZ0LfaDAOgKpeY490WbVZ/view?usp=sharing" TargetMode="External"/><Relationship Id="rId12" Type="http://schemas.openxmlformats.org/officeDocument/2006/relationships/hyperlink" Target="https://www.kmu.gov.ua/npas/pro-pochatok-navchalnogo-roku-pid-chas-diyi-pravovogo-rezhimu-voyennogo-stanu-v-ukrayini-i240622-711" TargetMode="External"/><Relationship Id="rId13" Type="http://schemas.openxmlformats.org/officeDocument/2006/relationships/image" Target="media/image1.pn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LibreOffice/6.0.3.2$Windows_x86 LibreOffice_project/8f48d515416608e3a835360314dac7e47fd0b821</Application>
  <Pages>14</Pages>
  <Words>2545</Words>
  <Characters>16899</Characters>
  <CharactersWithSpaces>19423</CharactersWithSpaces>
  <Paragraphs>326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2022-08-25T12:47:16Z</cp:lastPrinted>
  <dcterms:modified xsi:type="dcterms:W3CDTF">2022-10-26T12:03:15Z</dcterms:modified>
  <cp:revision>12</cp:revision>
  <dc:subject/>
  <dc:title/>
</cp:coreProperties>
</file>