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СХВАЛЕНО                                                                          ЗАТВЕРДЖЕНО</w:t>
      </w:r>
    </w:p>
    <w:p>
      <w:pPr>
        <w:pStyle w:val="Normal"/>
        <w:shd w:val="clear" w:color="auto" w:fill="FFFFFF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на засіданні пед. ради                                      Наказ директора ліцею       Протокол № 1 від 30.08.2023                                            від  30.08.2023 №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227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ОД</w:t>
      </w:r>
    </w:p>
    <w:p>
      <w:pPr>
        <w:pStyle w:val="Normal"/>
        <w:spacing w:lineRule="auto" w:line="276" w:before="0" w:after="0"/>
        <w:ind w:left="5103" w:hanging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40"/>
          <w:szCs w:val="28"/>
        </w:rPr>
        <w:t>Освітня програма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36"/>
          <w:szCs w:val="28"/>
        </w:rPr>
        <w:t xml:space="preserve">Суховільського ліцею Зимноводівської сільської ради  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36"/>
          <w:szCs w:val="28"/>
        </w:rPr>
        <w:t>для 1-4 класів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36"/>
          <w:szCs w:val="28"/>
        </w:rPr>
        <w:t>на 2023-2024 навчальний рік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spacing w:lineRule="auto" w:line="276" w:before="0" w:after="0"/>
        <w:ind w:right="4819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76" w:before="0" w:after="0"/>
        <w:ind w:right="30" w:hanging="0"/>
        <w:jc w:val="left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СТРУКТУРА ОСВІТНЬОЇ ПРОГРАМИ</w:t>
      </w:r>
    </w:p>
    <w:p>
      <w:pPr>
        <w:pStyle w:val="Normal"/>
        <w:spacing w:lineRule="auto" w:line="276" w:before="0" w:after="0"/>
        <w:ind w:right="30" w:hanging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1. Загальні положення освітньої програми. Інформація про заклад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 Вимоги до осіб, які можуть розпочинати здобуття освіти у закладі</w:t>
      </w:r>
    </w:p>
    <w:p>
      <w:pPr>
        <w:pStyle w:val="Normal"/>
        <w:widowControl/>
        <w:shd w:val="clear" w:color="auto" w:fill="FFFFFF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3.Опис “моделі” випускника закладу</w:t>
      </w:r>
    </w:p>
    <w:p>
      <w:pPr>
        <w:pStyle w:val="Normal"/>
        <w:widowControl/>
        <w:shd w:val="clear" w:color="auto" w:fill="FFFFFF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4. Навчальний план та його обґрунтування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5. Загальний обсяг навчального навантаження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6. Форми організації освітнього процесу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7. Інструментарій оцінювання навчальних досягнень здобувачів освіти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Програмно-методичне забезпечення освітньої програми</w:t>
      </w:r>
    </w:p>
    <w:p>
      <w:pPr>
        <w:pStyle w:val="Normal"/>
        <w:shd w:val="clear" w:color="auto" w:fill="FFFFFF"/>
        <w:spacing w:lineRule="auto" w:line="276" w:before="0" w:after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1.ЗАГАЛЬНІ ПОЛОЖЕННЯ ОСВІТНЬОЇ ПРОГРАМИ. </w:t>
      </w:r>
    </w:p>
    <w:p>
      <w:pPr>
        <w:pStyle w:val="Normal"/>
        <w:spacing w:lineRule="auto" w:line="276" w:before="0" w:after="0"/>
        <w:ind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ІНФОРМАЦІЯ ПРО ЗАКЛАД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Освітня програма </w:t>
      </w:r>
      <w:r>
        <w:rPr>
          <w:rFonts w:eastAsia="Times New Roman" w:cs="Times New Roman" w:ascii="Times New Roman" w:hAnsi="Times New Roman"/>
          <w:i/>
          <w:color w:val="000000" w:themeColor="text1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i/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це єдиний комплекс освітніх компонентів, спланованих і організованих закладом загальної середньої освіти для досягнення учнями результатів навчання. Основою для розроблення освітньої програми є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000000" w:themeColor="text1"/>
            <w:sz w:val="28"/>
            <w:szCs w:val="28"/>
          </w:rPr>
          <w:t>Державний стандарт загальної середньої освіти відповідного рівня</w:t>
        </w:r>
      </w:hyperlink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(стаття 33 Закону України «Про освіту», стаття 11 Закону України «Про повну загальну середню освіту»).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Метою початкової освіти є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Інформація про заклад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Тип закладу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–ліцей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Повна назва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– Суховільський ліцей Зимноводівської сільської ради Львівського району Львівської області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Кількість класів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–  8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Кількість учнів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color w:val="EF413D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153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right="85"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Структура 2023-2024  навчального року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Навчальні заняття організовуються за семестровою системою: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I семестр —  01.09.23- 22.12.2023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зимові канікули  з 23.12.2012 по 14.01.2024 р.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II семестр — 15.01.24- 31.05.2024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весняні канікули  з 23.03.2024 по 31.03.2024</w:t>
      </w:r>
    </w:p>
    <w:p>
      <w:pPr>
        <w:pStyle w:val="Normal"/>
        <w:spacing w:lineRule="auto" w:line="276" w:before="0" w:after="0"/>
        <w:jc w:val="both"/>
        <w:rPr/>
      </w:pPr>
      <w:bookmarkStart w:id="2" w:name="__DdeLink__10620_2523878651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великодні канікули з 04.05.2024 по 06.05.2024 року</w:t>
      </w:r>
      <w:bookmarkEnd w:id="2"/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Упродовж навчального року для учнів проводяться канікули. Їх загальна  тривалість протягом навчального року становить не менше 30 календарних днів.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Закінчується 2023-2024 навчальний рік проведенням державної підсумкової атестації випускників початкової школи.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4"/>
        </w:rPr>
        <w:t xml:space="preserve">Заклад здійснює освітній процес українською мовою за денною формою навчання в одну зміну, тривалість навчального тижня в закладі – 5 робочих днів. Відповідно до статті 10 Закону України «Про повну загальну середню освіту», </w:t>
      </w:r>
      <w:hyperlink r:id="rId3">
        <w:r>
          <w:rPr>
            <w:rStyle w:val="Style14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lang w:val="uk-UA"/>
          </w:rPr>
          <w:t>Постанови КМУ № 782 від 28.07.2023 року</w:t>
        </w:r>
      </w:hyperlink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“</w:t>
      </w:r>
      <w:hyperlink r:id="rId4">
        <w:r>
          <w:rPr>
            <w:rStyle w:val="Style14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bdr w:val="dotted" w:sz="2" w:space="1" w:color="8C8282"/>
          </w:rPr>
          <w:t>Про початок навчального року під час воєнного стану в Україн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>і”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4"/>
        </w:rPr>
        <w:t xml:space="preserve">освітній процес організовується в межах навчального року, що  розпочинається у День знань – 1 вересня, триває не менше 175 навчальних днів і закінчується  28 червня  2024 року 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Освітня програма на 2023-2024 навчальний рік розроблена відповідно до: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Конституції України;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Закону України «Про освіту» (стаття 33),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Закону України «Про повну загальну середню  освіту» (стаття 11),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Державного стандарту початкової освіти (затвердженого Постановою КМУ від 21 лютого 2018 року  N 87);,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Типової освітньої програми для учнів 1-2 класів закладів загальної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середньої освіти, розробленої під керівництвом Р. Б. Шияна (затвердженої наказом Міністерства освіти і науки України від 12.08.2022 No 743)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Типової освітньої програми для учнів 3-4 класів закладів загальної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середньої освіти, розробленої під керівництвом Р. Б. Шияна (затвердженої наказом Міністерства освіти і науки України від 12.08.2022 No 743),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наказу МОН України від 13.04.2011 № 329 «Про затвердження Критеріїв оцінювання навчальних досягнень учнів (вихованців) у системі загальної середньої освіти»,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наказу МОН України від 16.04.2018 р №367. “Про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освіти”</w:t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 </w:t>
        <w:tab/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 xml:space="preserve"> Розпорядження 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</w:t>
        <w:tab/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 xml:space="preserve">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</w:t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</w:rPr>
        <w:t>Листа МОН № 1/11479-23 від 03.08.2023 “Про методичні рекомендації”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 xml:space="preserve"> «Безпечне освітнє середовище: надання  індивідуальної підтримки учням з особливими освітніми потребами  під час підготовки до реагування на надзвичайні ситуації »</w:t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>Наказу  МОН України №883 від 24.07.2023 р. “Про надання грифа “Рекомендовано Міністерством освіти і науки України” модельним програмам для закладів загальної середньої освіт</w:t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left"/>
        <w:rPr/>
      </w:pPr>
      <w:bookmarkStart w:id="3" w:name="__DdeLink__7518_622074269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>Листа МОН№ 1/2186-23 від 16.08.2023 року “ Про організацію 2023-2024 н.р. в закладах  загальної середньої освіти.”</w:t>
      </w:r>
      <w:bookmarkEnd w:id="3"/>
    </w:p>
    <w:p>
      <w:pPr>
        <w:pStyle w:val="Normal"/>
        <w:numPr>
          <w:ilvl w:val="0"/>
          <w:numId w:val="1"/>
        </w:numPr>
        <w:spacing w:lineRule="auto" w:line="276" w:before="0" w:after="20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 xml:space="preserve">Лист ІМЗО №1242 від 1 серпня 2023 року “Методичні рекомендації щодо розвитку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  <w:lang w:val="en-US"/>
        </w:rPr>
        <w:t xml:space="preserve">STEM-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 xml:space="preserve"> освіти в закладах загальної середньої  та позашкільної освіти  у 2023-2024 навчальному році”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76" w:before="0" w:after="200"/>
        <w:jc w:val="left"/>
        <w:rPr/>
      </w:pPr>
      <w:hyperlink r:id="rId5">
        <w:r>
          <w:rPr>
            <w:rStyle w:val="Style14"/>
            <w:rFonts w:eastAsia="" w:cs="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lang w:val="uk-UA"/>
          </w:rPr>
          <w:t>Постанови КМУ № 782 від 28.07.2023 року</w:t>
        </w:r>
      </w:hyperlink>
      <w:r>
        <w:rPr>
          <w:rFonts w:eastAsia="" w:cs="" w:ascii="Times New Roman" w:hAnsi="Times New Roman"/>
          <w:color w:val="00000A"/>
          <w:sz w:val="28"/>
          <w:szCs w:val="28"/>
        </w:rPr>
        <w:t xml:space="preserve"> </w:t>
      </w:r>
      <w:hyperlink r:id="rId6">
        <w:r>
          <w:rPr>
            <w:rStyle w:val="Style14"/>
            <w:rFonts w:eastAsia="" w:cs="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bdr w:val="dotted" w:sz="2" w:space="1" w:color="8C8282"/>
          </w:rPr>
          <w:t>Про початок навчального року під час воєнного стану в Україн</w:t>
        </w:r>
      </w:hyperlink>
      <w:r>
        <w:rPr>
          <w:rFonts w:eastAsia="" w:cs="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>і;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76" w:before="0" w:after="200"/>
        <w:jc w:val="left"/>
        <w:rPr/>
      </w:pPr>
      <w:r>
        <w:rPr>
          <w:rFonts w:eastAsia="" w:cs="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 xml:space="preserve">Листа  ІМЗО від 15.08.2023 р № 22.1/10-1080 “Методичні рекомендації щодо розвитку </w:t>
      </w:r>
      <w:r>
        <w:rPr>
          <w:rFonts w:eastAsia="" w:cs="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  <w:lang w:val="en-US"/>
        </w:rPr>
        <w:t>STEM-</w:t>
      </w:r>
      <w:r>
        <w:rPr>
          <w:rFonts w:eastAsia="" w:cs="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>освіти  в закладах загальної середньої освіти  та позашкільної освіти у 2023-2024 н.р.”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76" w:before="0" w:after="200"/>
        <w:jc w:val="left"/>
        <w:rPr/>
      </w:pPr>
      <w:r>
        <w:rPr>
          <w:rFonts w:eastAsia="" w:cs="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>Лист МОН №1/12816 — 23 від 28.08.2023 “ про проведення першого уроку”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4"/>
        </w:rPr>
        <w:t>навчальних програм, підручників та навчально-методичних посібників, рекомендованих МОН України (лист МОН про перелік навчальної літератури, рекомендованої МОН України для використання у ЗО у відповідному навчальному році).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Головними завданнями закладу освіти є: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- сприяння в реалізації державної політики у галузі освіти з врахуванням особливостей соціально-культурного середовища ;  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забезпечення реалізації права громадян на повну загальну середню освіту;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виконання Державного стандарту початкової освіти;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виховання шанобливого ставлення до родини, поваги до народних традицій і звичаїв, державної мови, національних цінностей українського народу та інших народів і націй;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формування і розвиток соціальних навичок, розвиток творчої особистості з усвідомленою громадянською позицією, почуттям національної  самосвідомості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розвиток особистості учасників освітнього процесу, його здібностей і обдарувань, наукового світогляду;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реалізація права учнів на вільне формування політичних і світоглядних переконань;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формування в учасників освітнього процесу свідомого й відповідального ставлення до власного здоров’я та здоров’я оточуючих, навичок безпечної поведінки;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Заклад освіти у своїй діяльності керується Конституцією та законами України, актами Президента України, Кабінету Міністрів України, Міністерства освіти і науки України, ухвалами Зимноводівської сільської  ради, рішеннями виконавчого комітету, розпорядженнями, наказами Департаменту  освіти  Львівської ОДА та відділу освіти, молоді та спорту Зимноводівської сільської ради іншими нормативно-правовими актами та цим Статутом.  </w:t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2.ВИМОГИ ДО ОСІБ, ЯКІ МОЖУТЬ РОЗПОЧИНАТИ ЗДОБУТТЯ ОСВІТИ У ЗАКЛАДІ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Початкова освіта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Особи з особливими освітніми потребами можуть розпочинати здобуття початкової освіти з іншого віку.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учнів, які мають її відвідувати.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Зарахування учнів до закладу освіти здійснюється на основі чинних нормативно-правових актів.  </w:t>
      </w:r>
    </w:p>
    <w:p>
      <w:pPr>
        <w:pStyle w:val="Normal"/>
        <w:widowControl/>
        <w:spacing w:lineRule="auto" w:line="384" w:before="0" w:after="0"/>
        <w:ind w:left="0" w:right="0" w:hanging="0"/>
        <w:rPr>
          <w:rStyle w:val="Style15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</w:r>
    </w:p>
    <w:p>
      <w:pPr>
        <w:pStyle w:val="Normal"/>
        <w:widowControl/>
        <w:spacing w:lineRule="auto" w:line="384"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 </w:t>
      </w:r>
    </w:p>
    <w:p>
      <w:pPr>
        <w:pStyle w:val="Normal"/>
        <w:widowControl/>
        <w:spacing w:lineRule="auto" w:line="384"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>Розділ 3. Опис “моделі” випускника школи</w:t>
      </w:r>
    </w:p>
    <w:p>
      <w:pPr>
        <w:pStyle w:val="Normal"/>
        <w:widowControl/>
        <w:spacing w:lineRule="auto" w:line="384"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Модель випускника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Нової Української Школи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–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це необхідна основа для сміливих і успішних кроків у своє майбутнє. Всі інші здобутки у сфері компетентності може принести людині лише наполеглива цілеспрямована праця, бажання вчитися і ділитися досвідом з іншими.</w:t>
      </w:r>
    </w:p>
    <w:p>
      <w:pPr>
        <w:pStyle w:val="Normal"/>
        <w:widowControl/>
        <w:spacing w:lineRule="auto" w:line="384" w:before="0" w:after="0"/>
        <w:ind w:left="0" w:right="0" w:hanging="0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Випускник школи має міцні знання і вміло користується ними. Знання та вміння отримані учнем тісно взаємопов’язані з його ціннісними орієнтирами.</w:t>
      </w:r>
    </w:p>
    <w:p>
      <w:pPr>
        <w:pStyle w:val="Normal"/>
        <w:widowControl/>
        <w:spacing w:lineRule="auto" w:line="384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Набуті життєві компетентності випускник вміло використовує для успішної самореалізації у житті, навчанні та праці. Він вміє критично мислити, логічно обґрунтовувати позицію, виявляти ініціативу, творити, вирішувати проблеми, оцінювати ризики та приймати рішення.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689600"/>
            <wp:effectExtent l="0" t="0" r="0" b="0"/>
            <wp:wrapSquare wrapText="largest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4. НАВЧАЛЬНИЙ ПЛАН ТА ЙОГО ОБГРУНТУВАННЯ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Навчальний план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 2023-2024 навчальний рік складено відповідно до вимог Закону України «Про освіту»; Постанови Кабінету Міністрів України від 21.02.2018 № 87 «Про затвердження Державного стандарту початкової освіти».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Навчальний план на 2023-2024 н. р. для першого та другого класів розроблено на основі типової освітньої програми для 1-2 класів (автор – ШИЯН) затвердженої наказом Міністерства освіти і науки України  від 08.10.2019 № 1272 «Про затвердження типових освітніх навчальних програм для 1-2 класів закладів загальної середньої освіти»  та типової освітньої програми для 3-4 класів (автор – ШИЯН ) затвердженої наказом МОН України від 08.10.2019 № 1273 «Про затвердження типових освітніх навчальних програм для 3-4 класів закладів загальної середньої освіти». </w:t>
      </w:r>
    </w:p>
    <w:p>
      <w:pPr>
        <w:pStyle w:val="Normal"/>
        <w:shd w:val="clear" w:color="auto" w:fill="FFFFFF"/>
        <w:tabs>
          <w:tab w:val="left" w:pos="900" w:leader="none"/>
        </w:tabs>
        <w:spacing w:lineRule="auto" w:line="276" w:before="0" w:after="0"/>
        <w:ind w:right="85"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Навчальний план Суховільського ліцею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охоплює інваріантну складову, сформовану на державному рівні, та варіативну складову, в якій  введено курс за вибором “Сходинки  етичного зростання”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( 3 клас) “Каліграфія”( 1-2 класи)</w:t>
      </w:r>
    </w:p>
    <w:p>
      <w:pPr>
        <w:pStyle w:val="Normal"/>
        <w:shd w:val="clear" w:color="auto" w:fill="FFFFFF"/>
        <w:tabs>
          <w:tab w:val="left" w:pos="900" w:leader="none"/>
        </w:tabs>
        <w:spacing w:lineRule="auto" w:line="276" w:before="0" w:after="0"/>
        <w:ind w:right="85" w:firstLine="567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Організовано поділ на групи при вивченні інформатики, у 2-4 класах, окрім 3 А класу.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Повноцінність 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навчальними планами для кожного класу, в повному обсязі.</w:t>
      </w:r>
    </w:p>
    <w:p>
      <w:pPr>
        <w:pStyle w:val="Normal"/>
        <w:shd w:val="clear" w:color="auto" w:fill="FFFFFF"/>
        <w:spacing w:lineRule="auto" w:line="276" w:before="0" w:after="0"/>
        <w:ind w:right="85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spacing w:lineRule="auto" w:line="276" w:before="0" w:after="0"/>
        <w:ind w:right="85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Години варіативної складової робочого навчального плану учнів початкової школи використано на підсилення вивчення  української мови як державної. Мистецька галузь мистецтво реалізується через інтегрований предмет  “Мистецтво”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>Навчальний план  (НУШ) Суховільського ліцею на   2023-2024 н.р.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W w:w="10227" w:type="dxa"/>
        <w:jc w:val="left"/>
        <w:tblInd w:w="0" w:type="dxa"/>
        <w:tblBorders>
          <w:top w:val="single" w:sz="2" w:space="0" w:color="000001"/>
          <w:left w:val="single" w:sz="4" w:space="0" w:color="00000A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21" w:type="dxa"/>
          <w:bottom w:w="28" w:type="dxa"/>
          <w:right w:w="28" w:type="dxa"/>
        </w:tblCellMar>
        <w:tblLook w:val="04a0"/>
      </w:tblPr>
      <w:tblGrid>
        <w:gridCol w:w="325"/>
        <w:gridCol w:w="3240"/>
        <w:gridCol w:w="1134"/>
        <w:gridCol w:w="709"/>
        <w:gridCol w:w="708"/>
        <w:gridCol w:w="708"/>
        <w:gridCol w:w="1"/>
        <w:gridCol w:w="566"/>
        <w:gridCol w:w="1"/>
        <w:gridCol w:w="565"/>
        <w:gridCol w:w="1"/>
        <w:gridCol w:w="566"/>
        <w:gridCol w:w="1"/>
        <w:gridCol w:w="850"/>
        <w:gridCol w:w="1"/>
        <w:gridCol w:w="849"/>
      </w:tblGrid>
      <w:tr>
        <w:trPr/>
        <w:tc>
          <w:tcPr>
            <w:tcW w:w="325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40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Навчальні предмети</w:t>
            </w:r>
          </w:p>
        </w:tc>
        <w:tc>
          <w:tcPr>
            <w:tcW w:w="32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Кількість годин на тиждень у класах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1А</w:t>
            </w:r>
          </w:p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Інклюзивний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2А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2Б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3А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3Б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4А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4Б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Разом</w:t>
            </w:r>
          </w:p>
        </w:tc>
      </w:tr>
      <w:tr>
        <w:trPr>
          <w:trHeight w:val="670" w:hRule="atLeast"/>
        </w:trPr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4" w:hRule="atLeast"/>
        </w:trPr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>
        <w:trPr>
          <w:trHeight w:val="402" w:hRule="atLeast"/>
        </w:trPr>
        <w:tc>
          <w:tcPr>
            <w:tcW w:w="325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</w:tr>
      <w:tr>
        <w:trPr>
          <w:trHeight w:val="251" w:hRule="atLeast"/>
        </w:trPr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 досліджую світ :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51" w:hRule="atLeast"/>
        </w:trPr>
        <w:tc>
          <w:tcPr>
            <w:tcW w:w="325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Мовно-літературна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Математична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Природнича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17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Технологічна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184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Соціальна здоров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</w:rPr>
              <w:t>я збережна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та історична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</w:t>
            </w:r>
            <w:r>
              <w:rPr>
                <w:rFonts w:ascii="Times New Roman" w:hAnsi="Times New Roman"/>
                <w:lang w:val="uk-UA"/>
              </w:rPr>
              <w:t>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2/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Мистецтво (інтегрований курс)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Інформатика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4/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25/1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192/5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197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Предмети за вибором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4727575</wp:posOffset>
                      </wp:positionH>
                      <wp:positionV relativeFrom="paragraph">
                        <wp:posOffset>17780</wp:posOffset>
                      </wp:positionV>
                      <wp:extent cx="45720" cy="33020"/>
                      <wp:effectExtent l="0" t="0" r="0" b="0"/>
                      <wp:wrapNone/>
                      <wp:docPr id="2" name="Зображення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60" cy="59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72.15pt,0.55pt" to="374.1pt,5.15pt" ID="Зображення1" stroked="t" style="position:absolute">
                      <v:stroke color="#3465a4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ходинки етичного зростання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left="4791" w:hanging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left="4791" w:hanging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Каліграфія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4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Корекційно — розвиткові заняття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left="53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b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Корекція розвитку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left="56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b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left="561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23+2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uk-U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uk-UA"/>
              </w:rPr>
              <w:t>203+2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Разом по плану 1-4 класів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left="561" w:hanging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uk-UA"/>
              </w:rPr>
              <w:t>205</w:t>
            </w:r>
          </w:p>
        </w:tc>
      </w:tr>
      <w:tr>
        <w:trPr>
          <w:trHeight w:val="56" w:hRule="atLeast"/>
        </w:trPr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Гранично допустиме тижневе навчальне навантаження на учня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23+2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  <w:r>
        <w:br w:type="page"/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5.ЗАГАЛЬНИЙ ОБСЯГ НАВЧАЛЬНОГО НАВАНТАЖЕННЯ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Загальний обсяг навчального навантаження та орієнтовна тривалість</w:t>
      </w:r>
      <w:r>
        <w:rPr>
          <w:rFonts w:cs="Times New Roman" w:ascii="Times New Roman" w:hAnsi="Times New Roman"/>
          <w:sz w:val="28"/>
          <w:szCs w:val="28"/>
        </w:rPr>
        <w:t xml:space="preserve"> і можливі взаємозв’язки освітніх галузей, предметів, дисциплін визначено у типовому навчальному плані.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Логічна послідовність вивчення предметів розкривається у відповідних навчальних програмах.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Перелік та пропонований зміст освітніх галузей.</w:t>
      </w:r>
      <w:r>
        <w:rPr>
          <w:rFonts w:cs="Times New Roman" w:ascii="Times New Roman" w:hAnsi="Times New Roman"/>
          <w:sz w:val="28"/>
          <w:szCs w:val="28"/>
        </w:rPr>
        <w:t xml:space="preserve"> Освітню програму укладено за такими освітніми галузями: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Мовно-літературна, у тому числі: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Рідномовна освіта (українська мова та література; мови та літератури корінних народів та національних меншин) (МОВ 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Іншомовна освіта (ІНО)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Математична (МАО)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Природнича (ПРО)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Технологічна (ТЕО)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Інформатична (ІФО)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Соціальна і здоров’язбережувальна (СЗО)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Громадянська та історична (ГІО)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Мистецька (МИО) Фізкультурна (ФІО)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Очікувані результати навчання здобувачів освіти.</w:t>
      </w:r>
      <w:r>
        <w:rPr>
          <w:rFonts w:cs="Times New Roman" w:ascii="Times New Roman" w:hAnsi="Times New Roman"/>
          <w:sz w:val="28"/>
          <w:szCs w:val="28"/>
        </w:rPr>
        <w:t xml:space="preserve"> Відповідно до мети та загальних цілей, окреслених у Державному стандарті початкової освіти, визначено завдання, які має реалізувати вчитель/вчителька у рамках кожної галузі. Вони наведені в типових освітніх програмах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6. ФОРМИ ОРГАНІЗАЦІЇ ОСВІТНЬОГО ПРОЦЕСУ.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Основними формами організації освітнього процесу є різні типи уроку: формування компетентностей; розвитку компетентностей; перевірки та/або оцінювання досягнення компетентностей; корекції основних компетентностей; комбінований урок; використання технологій дистанційного навчання.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Також передбачені екскурсії, віртуальні подорожі, уроки-семінари, квести, інтерактивні уроки (уроки-«суди», урок-дискусійна група, уроки з навчанням одних учнів іншими), інтегровані уроки, відео-уроки, ділові ігри тощо. Вибір форм і методів навчання вчитель визначає самостійно, забезпечуючи досягнення очікуваних результатів, зазначених у навчальних програмах з предмету.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закладі широко впроваджуються інформаційно-комунікативні технології.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діяльності. Серед засобів, що можуть використовуватися, мультимедійні презентації, проекти, онлайн тести, програмні засоби навчання та інше. Це дозволяє формувати позитивну мотивацію учнів до навчальної діяльності, критичне і логічне мислення, вміння приймати рішення, співпрацювати в команді, бути конкурентоздатними та впевненими особистостями.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Заклад освіти може створювати у своєму складі класи (групи) з поглибленим вивченням окремих предметів, інклюзивні класи для навчання дітей з особливими освітніми потребами. Освітня програма передбачає освітні компоненти для вільного вибору здобувачів освіти; має корекційно-розвитковий складник для осіб з особливими освітніми потребами.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Індивідуальне навчання та навчання екстерном у ліцеї організовується відповідно до Положення про індивідуальне навчання, затвердженого наказом МОН України  12.01.2016 №8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7.ІНСТРУМЕНТАРІЙ ОЦІНЮВАННЯ НАВЧАЛЬНИХ ДОСЯГНЕНЬ ЗДОБУВАЧІВ ОСВІТИ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Навчальні досягнення здобувачів освіти у 1-4 класах підлягають вербальному, формувальному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Підсумкове оцінювання передбачає зіставлення навчальних досягнень здобувачів з конкретними очікуваними результатами навчання, визначеними типовою освітньою програмою.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Навчальні досягнення здобувачів у 3-4 класах підлягають формувальному та підсумковому (тематичному і завершальному)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Підсумкове оцінювання передбачає зіставлення навчальних досягнень здобувачів з очікуваними результатами навчання, визначеними освітньою програмою.</w:t>
      </w:r>
    </w:p>
    <w:p>
      <w:pPr>
        <w:pStyle w:val="Normal"/>
        <w:tabs>
          <w:tab w:val="left" w:pos="540" w:leader="none"/>
        </w:tabs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якості освіти. Державна підсумкова атестація учнів 4-х класів проводиться відповідно до Порядку проведення державної підсумкової атестації, затвердженого наказом Міністерства освіти і науки України від 07.12.2018 №1369, зареєстрованого у Міністерстві юстиції України 02.01.2019 №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8/32979.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8.ПРОГРАМНО-МЕТОДИЧНЕ ЗАБЕЗПЕЧЕННЯ ОСВІТНЬОЇ ПРОГРАМИ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Для виконання освітньої програми закладу на 2023/2024 навчальний рік передбачено використання, затверджених Міністерством освіти і науки України, навчальних програм з усіх предметів інваріатної частини; факультативів варіативної складової, що забезпечує інтеграцію загальноосвітніх програм, у єдину освітню програму, що дозволяє одержати запланований результат освіти. 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Перелік навчальних програм для 1-4-х класів (НУШ)</w:t>
      </w:r>
    </w:p>
    <w:tbl>
      <w:tblPr>
        <w:tblStyle w:val="a3"/>
        <w:tblW w:w="962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"/>
        <w:gridCol w:w="9101"/>
      </w:tblGrid>
      <w:tr>
        <w:trPr/>
        <w:tc>
          <w:tcPr>
            <w:tcW w:w="52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10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Назва навчальної програми</w:t>
            </w:r>
          </w:p>
        </w:tc>
      </w:tr>
      <w:tr>
        <w:trPr/>
        <w:tc>
          <w:tcPr>
            <w:tcW w:w="52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10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Типова освітня програма для 1-2 класів (автор Шиян Р.Б.),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наказом МОН України від 08.10.2019 № 1272)</w:t>
            </w:r>
          </w:p>
        </w:tc>
      </w:tr>
      <w:tr>
        <w:trPr/>
        <w:tc>
          <w:tcPr>
            <w:tcW w:w="52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10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Типова освітня програма для 3-4 класів (автор Шиян Р.Б..),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наказом МОН України від 08.10.2019 № 1273)</w:t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Style15">
    <w:name w:val="Виділення жирним"/>
    <w:qFormat/>
    <w:rPr>
      <w:b/>
      <w:bCs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5">
    <w:name w:val="ListLabel 5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6">
    <w:name w:val="ListLabel 6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7">
    <w:name w:val="ListLabel 7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8">
    <w:name w:val="ListLabel 8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9">
    <w:name w:val="ListLabel 9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94">
    <w:name w:val="ListLabel 94"/>
    <w:qFormat/>
    <w:rPr>
      <w:rFonts w:ascii="Times New Roman" w:hAnsi="Times New Roman" w:cs="OpenSymbol"/>
      <w:sz w:val="28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12">
    <w:name w:val="ListLabel 112"/>
    <w:qFormat/>
    <w:rPr>
      <w:rFonts w:ascii="Times New Roman" w:hAnsi="Times New Roman"/>
      <w:sz w:val="28"/>
      <w:szCs w:val="28"/>
    </w:rPr>
  </w:style>
  <w:style w:type="character" w:styleId="ListLabel90">
    <w:name w:val="ListLabel 90"/>
    <w:qFormat/>
    <w:rPr/>
  </w:style>
  <w:style w:type="character" w:styleId="ListLabel113">
    <w:name w:val="ListLabel 113"/>
    <w:qFormat/>
    <w:rPr>
      <w:rFonts w:ascii="Times New Roman" w:hAnsi="Times New Roman"/>
      <w:sz w:val="28"/>
      <w:szCs w:val="28"/>
    </w:rPr>
  </w:style>
  <w:style w:type="character" w:styleId="ListLabel114">
    <w:name w:val="ListLabel 114"/>
    <w:qFormat/>
    <w:rPr>
      <w:rFonts w:ascii="Times New Roman" w:hAnsi="Times New Roman"/>
      <w:sz w:val="28"/>
      <w:szCs w:val="28"/>
      <w:lang w:val="uk-UA"/>
    </w:rPr>
  </w:style>
  <w:style w:type="character" w:styleId="ListLabel115">
    <w:name w:val="ListLabel 115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16">
    <w:name w:val="ListLabel 116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117">
    <w:name w:val="ListLabel 117"/>
    <w:qFormat/>
    <w:rPr>
      <w:rFonts w:cs="OpenSymbol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127">
    <w:name w:val="ListLabel 127"/>
    <w:qFormat/>
    <w:rPr>
      <w:rFonts w:ascii="Times New Roman" w:hAnsi="Times New Roman"/>
      <w:sz w:val="28"/>
      <w:szCs w:val="28"/>
    </w:rPr>
  </w:style>
  <w:style w:type="character" w:styleId="ListLabel128">
    <w:name w:val="ListLabel 128"/>
    <w:qFormat/>
    <w:rPr>
      <w:rFonts w:ascii="Times New Roman" w:hAnsi="Times New Roman"/>
      <w:sz w:val="28"/>
      <w:szCs w:val="28"/>
    </w:rPr>
  </w:style>
  <w:style w:type="character" w:styleId="ListLabel129">
    <w:name w:val="ListLabel 129"/>
    <w:qFormat/>
    <w:rPr>
      <w:rFonts w:ascii="Times New Roman" w:hAnsi="Times New Roman"/>
      <w:sz w:val="28"/>
      <w:szCs w:val="28"/>
      <w:lang w:val="uk-UA"/>
    </w:rPr>
  </w:style>
  <w:style w:type="character" w:styleId="ListLabel130">
    <w:name w:val="ListLabel 130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31">
    <w:name w:val="ListLabel 131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132">
    <w:name w:val="ListLabel 132"/>
    <w:qFormat/>
    <w:rPr>
      <w:rFonts w:cs="OpenSymbol"/>
      <w:sz w:val="28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142">
    <w:name w:val="ListLabel 142"/>
    <w:qFormat/>
    <w:rPr>
      <w:rFonts w:ascii="Times New Roman" w:hAnsi="Times New Roman"/>
      <w:sz w:val="28"/>
      <w:szCs w:val="28"/>
    </w:rPr>
  </w:style>
  <w:style w:type="character" w:styleId="ListLabel143">
    <w:name w:val="ListLabel 143"/>
    <w:qFormat/>
    <w:rPr>
      <w:rFonts w:ascii="Times New Roman" w:hAnsi="Times New Roman"/>
      <w:sz w:val="28"/>
      <w:szCs w:val="28"/>
    </w:rPr>
  </w:style>
  <w:style w:type="character" w:styleId="ListLabel144">
    <w:name w:val="ListLabel 144"/>
    <w:qFormat/>
    <w:rPr>
      <w:rFonts w:ascii="Times New Roman" w:hAnsi="Times New Roman"/>
      <w:sz w:val="28"/>
      <w:szCs w:val="28"/>
      <w:lang w:val="uk-UA"/>
    </w:rPr>
  </w:style>
  <w:style w:type="character" w:styleId="ListLabel145">
    <w:name w:val="ListLabel 145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46">
    <w:name w:val="ListLabel 146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147">
    <w:name w:val="ListLabel 147"/>
    <w:qFormat/>
    <w:rPr>
      <w:rFonts w:cs="OpenSymbol"/>
      <w:sz w:val="28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157">
    <w:name w:val="ListLabel 157"/>
    <w:qFormat/>
    <w:rPr>
      <w:rFonts w:ascii="Times New Roman" w:hAnsi="Times New Roman"/>
      <w:sz w:val="28"/>
      <w:szCs w:val="28"/>
    </w:rPr>
  </w:style>
  <w:style w:type="character" w:styleId="ListLabel158">
    <w:name w:val="ListLabel 158"/>
    <w:qFormat/>
    <w:rPr>
      <w:rFonts w:ascii="Times New Roman" w:hAnsi="Times New Roman"/>
      <w:sz w:val="28"/>
      <w:szCs w:val="28"/>
    </w:rPr>
  </w:style>
  <w:style w:type="character" w:styleId="ListLabel159">
    <w:name w:val="ListLabel 159"/>
    <w:qFormat/>
    <w:rPr>
      <w:rFonts w:ascii="Times New Roman" w:hAnsi="Times New Roman"/>
      <w:sz w:val="28"/>
      <w:szCs w:val="28"/>
      <w:lang w:val="uk-UA"/>
    </w:rPr>
  </w:style>
  <w:style w:type="character" w:styleId="ListLabel160">
    <w:name w:val="ListLabel 160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61">
    <w:name w:val="ListLabel 161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162">
    <w:name w:val="ListLabel 162"/>
    <w:qFormat/>
    <w:rPr>
      <w:rFonts w:cs="OpenSymbol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172">
    <w:name w:val="ListLabel 172"/>
    <w:qFormat/>
    <w:rPr>
      <w:rFonts w:ascii="Times New Roman" w:hAnsi="Times New Roman"/>
      <w:sz w:val="28"/>
      <w:szCs w:val="28"/>
    </w:rPr>
  </w:style>
  <w:style w:type="character" w:styleId="ListLabel173">
    <w:name w:val="ListLabel 173"/>
    <w:qFormat/>
    <w:rPr>
      <w:rFonts w:ascii="Times New Roman" w:hAnsi="Times New Roman"/>
      <w:sz w:val="28"/>
      <w:szCs w:val="28"/>
    </w:rPr>
  </w:style>
  <w:style w:type="character" w:styleId="ListLabel174">
    <w:name w:val="ListLabel 174"/>
    <w:qFormat/>
    <w:rPr>
      <w:rFonts w:ascii="Times New Roman" w:hAnsi="Times New Roman"/>
      <w:sz w:val="28"/>
      <w:szCs w:val="28"/>
      <w:lang w:val="uk-UA"/>
    </w:rPr>
  </w:style>
  <w:style w:type="character" w:styleId="ListLabel175">
    <w:name w:val="ListLabel 175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76">
    <w:name w:val="ListLabel 176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431">
    <w:name w:val="ListLabel 43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432">
    <w:name w:val="ListLabel 43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413">
    <w:name w:val="ListLabel 413"/>
    <w:qFormat/>
    <w:rPr>
      <w:rFonts w:cs="Symbol"/>
      <w:sz w:val="28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33">
    <w:name w:val="ListLabel 433"/>
    <w:qFormat/>
    <w:rPr>
      <w:rFonts w:cs="OpenSymbol"/>
      <w:sz w:val="28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Wingdings"/>
    </w:rPr>
  </w:style>
  <w:style w:type="character" w:styleId="ListLabel436">
    <w:name w:val="ListLabel 436"/>
    <w:qFormat/>
    <w:rPr>
      <w:rFonts w:cs="Symbol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Wingdings"/>
    </w:rPr>
  </w:style>
  <w:style w:type="character" w:styleId="ListLabel439">
    <w:name w:val="ListLabel 439"/>
    <w:qFormat/>
    <w:rPr>
      <w:rFonts w:cs="Symbol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Wingdings"/>
    </w:rPr>
  </w:style>
  <w:style w:type="character" w:styleId="ListLabel442">
    <w:name w:val="ListLabel 442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443">
    <w:name w:val="ListLabel 443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444">
    <w:name w:val="ListLabel 444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445">
    <w:name w:val="ListLabel 445"/>
    <w:qFormat/>
    <w:rPr>
      <w:rFonts w:cs="OpenSymbol"/>
      <w:sz w:val="28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Wingdings"/>
    </w:rPr>
  </w:style>
  <w:style w:type="character" w:styleId="ListLabel448">
    <w:name w:val="ListLabel 448"/>
    <w:qFormat/>
    <w:rPr>
      <w:rFonts w:cs="Symbol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Wingdings"/>
    </w:rPr>
  </w:style>
  <w:style w:type="character" w:styleId="ListLabel451">
    <w:name w:val="ListLabel 451"/>
    <w:qFormat/>
    <w:rPr>
      <w:rFonts w:cs="Symbol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cs="Wingdings"/>
    </w:rPr>
  </w:style>
  <w:style w:type="character" w:styleId="ListLabel454">
    <w:name w:val="ListLabel 454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455">
    <w:name w:val="ListLabel 455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456">
    <w:name w:val="ListLabel 456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457">
    <w:name w:val="ListLabel 457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458">
    <w:name w:val="ListLabel 458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459">
    <w:name w:val="ListLabel 459"/>
    <w:qFormat/>
    <w:rPr>
      <w:rFonts w:cs="OpenSymbol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469">
    <w:name w:val="ListLabel 469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470">
    <w:name w:val="ListLabel 470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471">
    <w:name w:val="ListLabel 471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472">
    <w:name w:val="ListLabel 472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532">
    <w:name w:val="ListLabel 532"/>
    <w:qFormat/>
    <w:rPr>
      <w:rFonts w:cs="Symbol"/>
      <w:sz w:val="28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rFonts w:cs="Symbol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Wingdings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Wingdings"/>
    </w:rPr>
  </w:style>
  <w:style w:type="character" w:styleId="ListLabel541">
    <w:name w:val="ListLabel 541"/>
    <w:qFormat/>
    <w:rPr>
      <w:rFonts w:cs="OpenSymbol"/>
      <w:sz w:val="28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Wingdings"/>
    </w:rPr>
  </w:style>
  <w:style w:type="character" w:styleId="ListLabel544">
    <w:name w:val="ListLabel 544"/>
    <w:qFormat/>
    <w:rPr>
      <w:rFonts w:cs="Symbol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Wingdings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Wingdings"/>
    </w:rPr>
  </w:style>
  <w:style w:type="character" w:styleId="ListLabel550">
    <w:name w:val="ListLabel 550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551">
    <w:name w:val="ListLabel 551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552">
    <w:name w:val="ListLabel 552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553">
    <w:name w:val="ListLabel 553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554">
    <w:name w:val="ListLabel 554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555">
    <w:name w:val="ListLabel 555"/>
    <w:qFormat/>
    <w:rPr>
      <w:rFonts w:cs="OpenSymbol"/>
      <w:sz w:val="28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Symbol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Courier New"/>
    </w:rPr>
  </w:style>
  <w:style w:type="character" w:styleId="ListLabel563">
    <w:name w:val="ListLabel 563"/>
    <w:qFormat/>
    <w:rPr>
      <w:rFonts w:cs="Wingdings"/>
    </w:rPr>
  </w:style>
  <w:style w:type="character" w:styleId="ListLabel564">
    <w:name w:val="ListLabel 564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565">
    <w:name w:val="ListLabel 565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566">
    <w:name w:val="ListLabel 566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567">
    <w:name w:val="ListLabel 567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568">
    <w:name w:val="ListLabel 568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594">
    <w:name w:val="ListLabel 594"/>
    <w:qFormat/>
    <w:rPr>
      <w:rFonts w:cs="Symbol"/>
      <w:sz w:val="28"/>
    </w:rPr>
  </w:style>
  <w:style w:type="character" w:styleId="ListLabel595">
    <w:name w:val="ListLabel 595"/>
    <w:qFormat/>
    <w:rPr>
      <w:rFonts w:cs="Courier New"/>
    </w:rPr>
  </w:style>
  <w:style w:type="character" w:styleId="ListLabel596">
    <w:name w:val="ListLabel 596"/>
    <w:qFormat/>
    <w:rPr>
      <w:rFonts w:cs="Wingdings"/>
    </w:rPr>
  </w:style>
  <w:style w:type="character" w:styleId="ListLabel597">
    <w:name w:val="ListLabel 597"/>
    <w:qFormat/>
    <w:rPr>
      <w:rFonts w:cs="Symbol"/>
    </w:rPr>
  </w:style>
  <w:style w:type="character" w:styleId="ListLabel598">
    <w:name w:val="ListLabel 598"/>
    <w:qFormat/>
    <w:rPr>
      <w:rFonts w:cs="Courier New"/>
    </w:rPr>
  </w:style>
  <w:style w:type="character" w:styleId="ListLabel599">
    <w:name w:val="ListLabel 599"/>
    <w:qFormat/>
    <w:rPr>
      <w:rFonts w:cs="Wingdings"/>
    </w:rPr>
  </w:style>
  <w:style w:type="character" w:styleId="ListLabel600">
    <w:name w:val="ListLabel 600"/>
    <w:qFormat/>
    <w:rPr>
      <w:rFonts w:cs="Symbol"/>
    </w:rPr>
  </w:style>
  <w:style w:type="character" w:styleId="ListLabel601">
    <w:name w:val="ListLabel 601"/>
    <w:qFormat/>
    <w:rPr>
      <w:rFonts w:cs="Courier New"/>
    </w:rPr>
  </w:style>
  <w:style w:type="character" w:styleId="ListLabel602">
    <w:name w:val="ListLabel 602"/>
    <w:qFormat/>
    <w:rPr>
      <w:rFonts w:cs="Wingdings"/>
    </w:rPr>
  </w:style>
  <w:style w:type="character" w:styleId="ListLabel603">
    <w:name w:val="ListLabel 603"/>
    <w:qFormat/>
    <w:rPr>
      <w:rFonts w:cs="OpenSymbol"/>
      <w:sz w:val="28"/>
    </w:rPr>
  </w:style>
  <w:style w:type="character" w:styleId="ListLabel604">
    <w:name w:val="ListLabel 604"/>
    <w:qFormat/>
    <w:rPr>
      <w:rFonts w:cs="Courier New"/>
    </w:rPr>
  </w:style>
  <w:style w:type="character" w:styleId="ListLabel605">
    <w:name w:val="ListLabel 605"/>
    <w:qFormat/>
    <w:rPr>
      <w:rFonts w:cs="Wingdings"/>
    </w:rPr>
  </w:style>
  <w:style w:type="character" w:styleId="ListLabel606">
    <w:name w:val="ListLabel 606"/>
    <w:qFormat/>
    <w:rPr>
      <w:rFonts w:cs="Symbol"/>
    </w:rPr>
  </w:style>
  <w:style w:type="character" w:styleId="ListLabel607">
    <w:name w:val="ListLabel 607"/>
    <w:qFormat/>
    <w:rPr>
      <w:rFonts w:cs="Courier New"/>
    </w:rPr>
  </w:style>
  <w:style w:type="character" w:styleId="ListLabel608">
    <w:name w:val="ListLabel 608"/>
    <w:qFormat/>
    <w:rPr>
      <w:rFonts w:cs="Wingdings"/>
    </w:rPr>
  </w:style>
  <w:style w:type="character" w:styleId="ListLabel609">
    <w:name w:val="ListLabel 609"/>
    <w:qFormat/>
    <w:rPr>
      <w:rFonts w:cs="Symbol"/>
    </w:rPr>
  </w:style>
  <w:style w:type="character" w:styleId="ListLabel610">
    <w:name w:val="ListLabel 610"/>
    <w:qFormat/>
    <w:rPr>
      <w:rFonts w:cs="Courier New"/>
    </w:rPr>
  </w:style>
  <w:style w:type="character" w:styleId="ListLabel611">
    <w:name w:val="ListLabel 611"/>
    <w:qFormat/>
    <w:rPr>
      <w:rFonts w:cs="Wingdings"/>
    </w:rPr>
  </w:style>
  <w:style w:type="character" w:styleId="ListLabel612">
    <w:name w:val="ListLabel 612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613">
    <w:name w:val="ListLabel 613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614">
    <w:name w:val="ListLabel 614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character" w:styleId="ListLabel615">
    <w:name w:val="ListLabel 615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lang w:val="uk-UA"/>
    </w:rPr>
  </w:style>
  <w:style w:type="character" w:styleId="ListLabel616">
    <w:name w:val="ListLabel 616"/>
    <w:qFormat/>
    <w:rPr>
      <w:rFonts w:ascii="Times New Roman" w:hAnsi="Times New Roman" w:eastAsia="" w:cs="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u w:val="none"/>
      <w:effect w:val="none"/>
      <w:bdr w:val="dotted" w:sz="2" w:space="1" w:color="8C828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Style21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2">
    <w:name w:val="Вміст таблиці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3">
    <w:name w:val="Заголовок таблиці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1392-2011-&#1087;" TargetMode="External"/><Relationship Id="rId3" Type="http://schemas.openxmlformats.org/officeDocument/2006/relationships/hyperlink" Target="https://osvita.ua/legislation/Ser_osv/89658/" TargetMode="External"/><Relationship Id="rId4" Type="http://schemas.openxmlformats.org/officeDocument/2006/relationships/hyperlink" Target="https://osvita.ua/legislation/Ser_osv/89658/" TargetMode="External"/><Relationship Id="rId5" Type="http://schemas.openxmlformats.org/officeDocument/2006/relationships/hyperlink" Target="https://osvita.ua/legislation/Ser_osv/89658/" TargetMode="External"/><Relationship Id="rId6" Type="http://schemas.openxmlformats.org/officeDocument/2006/relationships/hyperlink" Target="https://osvita.ua/legislation/Ser_osv/89658/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LibreOffice/6.0.3.2$Windows_x86 LibreOffice_project/8f48d515416608e3a835360314dac7e47fd0b821</Application>
  <Pages>15</Pages>
  <Words>2562</Words>
  <Characters>16845</Characters>
  <CharactersWithSpaces>19344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2022-08-25T12:47:16Z</cp:lastPrinted>
  <dcterms:modified xsi:type="dcterms:W3CDTF">2023-09-05T17:24:22Z</dcterms:modified>
  <cp:revision>21</cp:revision>
  <dc:subject/>
  <dc:title/>
</cp:coreProperties>
</file>