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themeColor="text1" w:val="000000"/>
          <w:sz w:val="36"/>
          <w:szCs w:val="28"/>
          <w:lang w:val="en-US"/>
        </w:rPr>
        <w:tab/>
      </w:r>
    </w:p>
    <w:p>
      <w:pPr>
        <w:pStyle w:val="Subtitle"/>
        <w:rPr/>
      </w:pPr>
      <w:r>
        <w:rPr>
          <w:sz w:val="24"/>
        </w:rPr>
        <w:t>СУХОВІЛЬСЬК</w:t>
      </w:r>
      <w:r>
        <w:rPr>
          <w:rFonts w:cs="Times New Roman"/>
          <w:sz w:val="24"/>
          <w:lang w:val="uk-UA"/>
        </w:rPr>
        <w:t>ИЙ ЛІЦЕЙ  ЗИМНОВОДІВСЬКОЇ  СІЛЬСЬКОЇ РАДИ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 Львівський 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bookmarkStart w:id="0" w:name="__DdeLink__4849_2894278852"/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  <w:bookmarkEnd w:id="0"/>
    </w:p>
    <w:p>
      <w:pPr>
        <w:pStyle w:val="BodyText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hd w:val="clear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</w:rPr>
        <w:t xml:space="preserve">СХВАЛЕНО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</w:rPr>
        <w:t xml:space="preserve">                                        ПОГОДЖЕНО                                         ЗАТВЕРДЖЕНО                   Рішенням педагогічної ради                          Начальник відділу освіти,                              Наказ директора ліцею       </w:t>
      </w:r>
    </w:p>
    <w:p>
      <w:pPr>
        <w:pStyle w:val="Normal"/>
        <w:shd w:val="clear" w:fill="FFFFFF"/>
        <w:spacing w:lineRule="auto" w:line="360" w:before="0" w:after="0"/>
        <w:ind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</w:rPr>
        <w:t>від 29.08.2025 року                                               молоді та спорту                                 від 29.08.2025 №</w:t>
      </w: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 xml:space="preserve">70 </w:t>
      </w: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</w:rPr>
        <w:t>ОД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</w:rPr>
        <w:t xml:space="preserve">Протокол №1                                                         Ганна ХОЛЯВКА                                        Богдан ДОСКУЧ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"/>
        <w:spacing w:lineRule="auto" w:line="276" w:before="0" w:after="0"/>
        <w:ind w:hanging="0" w:left="5103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40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40"/>
          <w:szCs w:val="28"/>
        </w:rPr>
        <w:t>Освітня програма</w:t>
      </w:r>
    </w:p>
    <w:p>
      <w:pPr>
        <w:pStyle w:val="Normal"/>
        <w:shd w:val="clear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36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 xml:space="preserve">Суховільського ліцею Зимноводівської сільської ради  </w:t>
      </w:r>
    </w:p>
    <w:p>
      <w:pPr>
        <w:pStyle w:val="Normal"/>
        <w:shd w:val="clear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36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>для 1-4 класів</w:t>
      </w:r>
    </w:p>
    <w:p>
      <w:pPr>
        <w:pStyle w:val="Normal"/>
        <w:shd w:val="clear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36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>на 2025-2026 навчальний рік</w:t>
      </w:r>
    </w:p>
    <w:p>
      <w:pPr>
        <w:pStyle w:val="Normal"/>
        <w:shd w:val="clear" w:fill="FFFFFF"/>
        <w:spacing w:lineRule="auto" w:line="276" w:before="0" w:after="0"/>
        <w:ind w:hanging="0" w:left="567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76" w:before="0" w:after="0"/>
        <w:ind w:hanging="0" w:right="481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 w:before="0" w:after="0"/>
        <w:ind w:hanging="0" w:right="30"/>
        <w:jc w:val="left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СТРУКТУРА ОСВІТНЬОЇ ПРОГРАМИ</w:t>
      </w:r>
    </w:p>
    <w:p>
      <w:pPr>
        <w:pStyle w:val="Normal"/>
        <w:spacing w:lineRule="auto" w:line="276" w:before="0" w:after="0"/>
        <w:ind w:hanging="0" w:right="30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1. Загальні положення освітньої програми. Інформація про заклад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2. Вимоги до осіб, які можуть розпочинати здобуття освіти у закладі</w:t>
      </w:r>
    </w:p>
    <w:p>
      <w:pPr>
        <w:pStyle w:val="Normal"/>
        <w:widowControl/>
        <w:shd w:val="clear" w:color="auto" w:fill="FFFFFF"/>
        <w:spacing w:lineRule="auto" w:line="24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3.Опис “моделі” випускника закладу</w:t>
      </w:r>
    </w:p>
    <w:p>
      <w:pPr>
        <w:pStyle w:val="Normal"/>
        <w:widowControl/>
        <w:shd w:val="clear" w:color="auto" w:fill="FFFFFF"/>
        <w:spacing w:lineRule="auto" w:line="24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4. Навчальний план та його обґрунтування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5. Загальний обсяг навчального навантаження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6. Форми організації освітнього процесу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7. Інструментарій оцінювання навчальних досягнень здобувачів освіти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Програмно-методичне забезпечення освітньої програми</w:t>
      </w:r>
    </w:p>
    <w:p>
      <w:pPr>
        <w:pStyle w:val="Normal"/>
        <w:shd w:val="clear" w:color="auto" w:fill="FFFFFF"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1.ЗАГАЛЬНІ ПОЛОЖЕННЯ ОСВІТНЬОЇ ПРОГРАМИ. </w:t>
      </w:r>
    </w:p>
    <w:p>
      <w:pPr>
        <w:pStyle w:val="Normal"/>
        <w:spacing w:lineRule="auto" w:line="276" w:before="0" w:after="0"/>
        <w:ind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ІНФОРМАЦІЯ ПРО ЗАКЛАД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Освітня програма </w:t>
      </w:r>
      <w:r>
        <w:rPr>
          <w:rFonts w:eastAsia="Times New Roman" w:cs="Times New Roman" w:ascii="Times New Roman" w:hAnsi="Times New Roman"/>
          <w:i/>
          <w:color w:themeColor="text1" w:val="000000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i/>
          <w:color w:themeColor="text1"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</w:t>
      </w:r>
      <w:hyperlink r:id="rId3">
        <w:r>
          <w:rPr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Державний стандарт загальної середньої освіти відповідного рівня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Інформація про заклад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Тип закладу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–ліцей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Повна назва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– Суховільський ліцей Зимноводівської сільської ради Львівського району Львівської області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Кількість класів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–  8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Кількість учнів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EF413D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43  учнів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hanging="0" w:right="85"/>
        <w:jc w:val="both"/>
        <w:rPr/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Структура 2025-2026  навчального року</w:t>
      </w:r>
    </w:p>
    <w:p>
      <w:pPr>
        <w:pStyle w:val="Normal"/>
        <w:spacing w:lineRule="auto" w:line="276" w:before="0" w:after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Навчальні заняття організовуються за семестровою системою: </w:t>
      </w:r>
    </w:p>
    <w:p>
      <w:pPr>
        <w:pStyle w:val="Normal"/>
        <w:spacing w:lineRule="auto" w:line="276" w:before="0" w:after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>I семестр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—  01.09.25- 23.12.2025 р.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осінні канікули — 27.10.25 — 02.11.25 р.</w:t>
      </w:r>
    </w:p>
    <w:p>
      <w:pPr>
        <w:pStyle w:val="Normal"/>
        <w:spacing w:lineRule="auto" w:line="276" w:before="0" w:after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зимові канікули  з 24.12.2025 по 11.01.2026 р.</w:t>
      </w:r>
    </w:p>
    <w:p>
      <w:pPr>
        <w:pStyle w:val="Normal"/>
        <w:spacing w:lineRule="auto" w:line="276" w:before="0" w:after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 xml:space="preserve">II семестр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— 12.01.26.  по 04.06.2026 р.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 xml:space="preserve">весняні канікули 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30.03.26- 06.04.2026 р.</w:t>
      </w:r>
    </w:p>
    <w:p>
      <w:pPr>
        <w:pStyle w:val="Normal"/>
        <w:spacing w:lineRule="auto" w:line="276" w:before="0" w:after="0"/>
        <w:ind w:hanging="0"/>
        <w:jc w:val="both"/>
        <w:rPr>
          <w:color w:val="CE181E"/>
        </w:rPr>
      </w:pPr>
      <w:r>
        <w:rPr>
          <w:color w:val="CE181E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Закінчується 2025-2026 навчальний рік проведенням державної підсумкової атестації випускників початкової школи.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4"/>
        </w:rPr>
        <w:t xml:space="preserve">Заклад здійснює освітній процес українською мовою за денною формою навчання в одну зміну, тривалість навчального тижня в закладі – 5 робочих днів. Відповідно до статті 10 Закону України «Про повну загальну середню освіту», </w:t>
      </w:r>
      <w:hyperlink r:id="rId4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lang w:val="uk-UA"/>
          </w:rPr>
          <w:t>Постанови КМУ № 782 від 28.07.2023 року</w:t>
        </w:r>
      </w:hyperlink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“</w:t>
      </w:r>
      <w:hyperlink r:id="rId5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bdr w:val="dotted" w:sz="2" w:space="1" w:color="8C8282"/>
          </w:rPr>
          <w:t>Про початок навчального року під час воєнного стану в Україн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і”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4"/>
        </w:rPr>
        <w:t xml:space="preserve">освітній процес організовується в межах навчального року, що  розпочинається у День знань – 1 вересня, триває не менше 175 навчальних днів і закінчується </w:t>
      </w:r>
      <w:r>
        <w:rPr>
          <w:rFonts w:eastAsia="Times New Roman" w:cs="Times New Roman" w:ascii="Times New Roman" w:hAnsi="Times New Roman"/>
          <w:color w:val="CE181E"/>
          <w:sz w:val="28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4"/>
        </w:rPr>
        <w:t xml:space="preserve">30 червня  2026 року </w:t>
      </w:r>
    </w:p>
    <w:p>
      <w:pPr>
        <w:pStyle w:val="ListParagraph"/>
        <w:spacing w:lineRule="auto" w:line="276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Освітня програма на 2025-2026 навчальний рік розроблена відповідно до: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Конституції України;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Закону України «Про освіту» (стаття 33);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Закону України «Про повну загальну середню  освіту» (стаття 11);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Державного стандарту початкової освіти (затвердженого Постановою КМУ від 21 лютого 2018 року  N 87);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Типової освітньої програми для учнів 1-2 класів закладів загальної середньої освіти, розробленої під керівництвом Р. Б. Шияна (затвердженої наказом Міністерства освіти і науки України від 12.08.2022 No 743-22);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Типової освітньої програми для учнів 3-4 класів закладів загальної середньої освіти, розробленої під керівництвом Р. Б. Шияна (затвердженої наказом Міністерства освіти і науки України від 12.08.2022 No 743-22);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Наказу МОН України від 13.04.2011 № 329 «Про затвердження Критеріїв оцінювання навчальних досягнень учнів (вихованців) у системі загальної середньої освіти»;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Наказу МОН України від 16.04.2018 р №367. “Про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освіти”;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</w:rPr>
        <w:t>Листа МОН № 1/11479-23 від 03.08.2023 “Про методичні рекомендації”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 «Безпечне освітнє середовище: надання  індивідуальної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</w:rPr>
        <w:t>підтримки учням з особливими освітніми потребами  під час підготовки до реагування на надзвичайні ситуації 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Постанови Кабінету Міністрів України № 658 від 4 червня 2025 року затверджує Типову програму унеможливлення насильства та жорстокого поводження з дітьми.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b w:val="false"/>
          <w:bCs w:val="false"/>
        </w:rPr>
      </w:pPr>
      <w:r>
        <w:rPr>
          <w:color w:val="auto"/>
          <w:sz w:val="28"/>
          <w:szCs w:val="28"/>
          <w:u w:val="none"/>
        </w:rPr>
        <w:t> </w:t>
      </w:r>
      <w:hyperlink r:id="rId6" w:tgtFrame="_blank">
        <w:r>
          <w:rPr>
            <w:rStyle w:val="Hyperlink"/>
            <w:color w:val="000000"/>
            <w:sz w:val="28"/>
            <w:szCs w:val="28"/>
            <w:u w:val="none"/>
            <w:shd w:fill="auto" w:val="clear"/>
            <w:lang w:val="uk-UA"/>
          </w:rPr>
          <w:t>Листа МОН України від 29.05.2025 р. №1/11233-25 "Про підготовку закладів освіти до нового навчального року та проходження осінньо-зимового періоду 2025/26 року"</w:t>
        </w:r>
      </w:hyperlink>
      <w:r>
        <w:rPr>
          <w:color w:val="auto"/>
          <w:sz w:val="28"/>
          <w:szCs w:val="28"/>
          <w:u w:val="none"/>
        </w:rPr>
        <w:t xml:space="preserve"> 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u w:val="none"/>
        </w:rPr>
        <w:t xml:space="preserve">                 </w:t>
      </w:r>
      <w:r>
        <w:rPr>
          <w:b w:val="false"/>
          <w:bCs w:val="false"/>
          <w:color w:val="auto"/>
          <w:sz w:val="28"/>
          <w:szCs w:val="28"/>
          <w:u w:val="none"/>
        </w:rPr>
        <w:t>Листа МОН № 1/4895-25 від 14.03.25 року «</w:t>
      </w:r>
      <w:r>
        <w:rPr>
          <w:rStyle w:val="Strong"/>
          <w:b w:val="false"/>
          <w:bCs w:val="false"/>
          <w:color w:val="auto"/>
          <w:sz w:val="28"/>
          <w:szCs w:val="28"/>
          <w:u w:val="none"/>
        </w:rPr>
        <w:t>Про окремі питання оцінювання результатів навчання</w:t>
      </w:r>
      <w:r>
        <w:rPr>
          <w:color w:val="auto"/>
          <w:sz w:val="28"/>
          <w:szCs w:val="28"/>
          <w:u w:val="none"/>
        </w:rPr>
        <w:t xml:space="preserve"> 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color w:val="auto"/>
          <w:sz w:val="28"/>
          <w:szCs w:val="28"/>
          <w:u w:val="none"/>
        </w:rPr>
        <w:tab/>
        <w:tab/>
        <w:t>Листа ІМЗО від 07.07.2025 № 21/08-586 “Про методичні рекомендації «Пріоритетні напрями роботи психологічної служби у системі освіти України в 2025/2026 навчальному році»”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Hyperlink"/>
          <w:rFonts w:ascii="Times New Roman" w:hAnsi="Times New Roman"/>
          <w:color w:val="auto"/>
          <w:sz w:val="28"/>
          <w:szCs w:val="28"/>
          <w:lang w:val="uk-UA"/>
        </w:rPr>
        <w:t>Наказу МОН № 1162 від 20.08.2025 року</w:t>
      </w:r>
      <w:r>
        <w:rPr>
          <w:rStyle w:val="Hyperlink"/>
          <w:rFonts w:ascii="Times New Roman" w:hAnsi="Times New Roman"/>
          <w:sz w:val="28"/>
          <w:szCs w:val="28"/>
          <w:lang w:val="uk-UA"/>
        </w:rPr>
        <w:t xml:space="preserve"> « </w:t>
      </w:r>
      <w:r>
        <w:rPr>
          <w:b w:val="false"/>
          <w:bCs w:val="false"/>
          <w:color w:val="000000"/>
          <w:sz w:val="28"/>
          <w:szCs w:val="28"/>
          <w:u w:val="none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Україні»</w:t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20"/>
        <w:rPr/>
      </w:pPr>
      <w:r>
        <w:rPr>
          <w:rStyle w:val="Hyperlink"/>
          <w:rFonts w:ascii="Times New Roman" w:hAnsi="Times New Roman"/>
          <w:sz w:val="28"/>
          <w:szCs w:val="28"/>
        </w:rPr>
        <w:t>Н</w:t>
      </w:r>
      <w:r>
        <w:rPr>
          <w:rStyle w:val="Hyperlink"/>
          <w:rFonts w:ascii="Times New Roman" w:hAnsi="Times New Roman"/>
          <w:sz w:val="28"/>
          <w:szCs w:val="28"/>
          <w:lang w:val="uk-UA"/>
        </w:rPr>
        <w:t>аказу МОН № 1163 від 20.08.2025 р «</w:t>
      </w:r>
      <w:r>
        <w:rPr>
          <w:rStyle w:val="Hyperlink"/>
          <w:rFonts w:ascii="Times New Roman" w:hAnsi="Times New Roman"/>
          <w:sz w:val="28"/>
          <w:szCs w:val="28"/>
        </w:rPr>
        <w:t>Про затвердження концептуальних засад освітніх галузей та дорожньої карти реалізації концептуальних засад освітніх галузей на 2025-2030 роки "</w:t>
      </w:r>
    </w:p>
    <w:p>
      <w:pPr>
        <w:pStyle w:val="Heading1"/>
        <w:numPr>
          <w:ilvl w:val="0"/>
          <w:numId w:val="1"/>
        </w:numPr>
        <w:ind w:hanging="0" w:left="720"/>
        <w:rPr>
          <w:color w:val="auto"/>
          <w:sz w:val="28"/>
          <w:szCs w:val="28"/>
          <w:u w:val="none"/>
        </w:rPr>
      </w:pPr>
      <w:r>
        <w:rPr>
          <w:color w:val="000000"/>
          <w:sz w:val="28"/>
          <w:szCs w:val="28"/>
        </w:rPr>
        <w:t>Листа МОН №1/</w:t>
      </w:r>
      <w:r>
        <w:rPr>
          <w:color w:val="000000"/>
          <w:sz w:val="28"/>
          <w:szCs w:val="28"/>
          <w:lang w:val="en-US"/>
        </w:rPr>
        <w:t xml:space="preserve">16828-25 </w:t>
      </w:r>
      <w:r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en-US"/>
        </w:rPr>
        <w:t>13.08.2025</w:t>
      </w:r>
      <w:r>
        <w:rPr>
          <w:color w:val="000000"/>
          <w:sz w:val="28"/>
          <w:szCs w:val="28"/>
          <w:lang w:val="uk-UA"/>
        </w:rPr>
        <w:t xml:space="preserve"> року  «</w:t>
      </w:r>
      <w:r>
        <w:rPr>
          <w:b w:val="false"/>
          <w:bCs w:val="false"/>
          <w:color w:val="000000"/>
          <w:sz w:val="28"/>
          <w:szCs w:val="28"/>
        </w:rPr>
        <w:t>Про інструктивно-методичні рекомендації  щодо викладання навчальних предметів  інтегрованих курсів у закладах  загальної середньої освіти  у 2025/2026 навчальному році»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themeColor="text1" w:val="000000"/>
          <w:spacing w:val="0"/>
          <w:sz w:val="28"/>
          <w:szCs w:val="28"/>
          <w:u w:val="none"/>
          <w:effect w:val="none"/>
          <w:lang w:val="uk-UA"/>
        </w:rPr>
        <w:t>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авчальних програм, підручників та навчально-методичних посібників, рекомендованих МОН України (лист МОН про перелік навчальної літератури, рекомендованої МОН України для використання у ЗО у відповідному навчальному році).</w:t>
      </w:r>
    </w:p>
    <w:p>
      <w:pPr>
        <w:pStyle w:val="ListParagraph"/>
        <w:numPr>
          <w:ilvl w:val="0"/>
          <w:numId w:val="1"/>
        </w:numPr>
        <w:rPr/>
      </w:pPr>
      <w:r>
        <w:rPr>
          <w:rStyle w:val="Hyperlink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</w:rPr>
        <w:t>ПОСТАНОВ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  <w:lang w:val="uk-UA"/>
        </w:rPr>
        <w:t xml:space="preserve">И КМУ  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</w:rPr>
        <w:t xml:space="preserve">від 20 серпня 2025 р. № 1003 Про початок навчального року під час воєнного стану в Україні 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bdr w:val="dotted" w:sz="2" w:space="1" w:color="8C8282"/>
          <w:shd w:fill="auto" w:val="clear"/>
          <w:lang w:val="uk-UA"/>
        </w:rPr>
        <w:t>Листа МОН № 1/17526-25 від 22.08.2025 року «П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>ро організацію 2025/2026 навчального року в закладах загальної середньої освіти»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Головними завданнями закладу освіти є: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;  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забезпечення реалізації права громадян на повну загальну середню освіту;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виконання Державного стандарту початкової освіти;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Заклад освіти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ухвалами Зимноводівської сільської  ради, рішеннями виконавчого комітету, розпорядженнями, наказами Департаменту  освіти  Львівської ОДА та відділу освіти, молоді та спорту Зимноводівської сільської ради іншими нормативно-правовими актами та цим Статутом. 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2.ВИМОГИ ДО ОСІБ, ЯКІ МОЖУТЬ РОЗПОЧИНАТИ ЗДОБУТТЯ ОСВІТИ У ЗАКЛАДІ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Зарахування учнів до закладу освіти здійснюється на основі чинних нормативно-правових актів.  </w:t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>Розділ 3. Опис “моделі” випускника школи</w:t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Модель випускника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Нової Української Школи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</w:t>
      </w:r>
    </w:p>
    <w:p>
      <w:pPr>
        <w:pStyle w:val="Normal"/>
        <w:widowControl/>
        <w:spacing w:lineRule="auto" w:line="384" w:before="0" w:after="0"/>
        <w:ind w:hanging="0" w:left="0" w:right="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Випускник школи має міцні знання і вміло користується ними. Знання та вміння отримані учнем тісно взаємопов’язані з його ціннісними орієнтирами.</w:t>
      </w:r>
    </w:p>
    <w:p>
      <w:pPr>
        <w:pStyle w:val="Normal"/>
        <w:widowControl/>
        <w:spacing w:lineRule="auto" w:line="384" w:before="0" w:after="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Набуті життєві компетентності випускник вміло використовує для успішної самореалізації у житті, навчанні та праці. Він вміє критично мислити, логічно обґрунтовувати позицію, виявляти ініціативу, творити, вирішувати проблеми, оцінювати ризики та приймати рішення.</w:t>
      </w:r>
    </w:p>
    <w:p>
      <w:pPr>
        <w:pStyle w:val="Normal"/>
        <w:widowControl w:val="false"/>
        <w:spacing w:lineRule="auto" w:line="276" w:before="0" w:after="0"/>
        <w:ind w:hanging="0"/>
        <w:jc w:val="both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689600"/>
            <wp:effectExtent l="0" t="0" r="0" b="0"/>
            <wp:wrapSquare wrapText="largest"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4. НАВЧАЛЬНИЙ ПЛАН ТА ЙОГО ОБГРУНТУВАННЯ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Навчальний план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 2025-2026 навчальний рік складено відповідно до вимог Законів  України «Про освіту» « Про повну загальну середню освіту», Постанови Кабінету Міністрів України від 21.02.2018 № 87 «Про затвердження Державного стандарту початкової освіти».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Навчальний план на 2025-2026 н. р. для першого та другого класів розроблено на основі Типової освітньої програми для 1-2 класів (автор – ШИЯН) затвердженої наказом Міністерства освіти і науки України  від 12.10.2022 № 743-22 «Про затвердження типових освітніх навчальних програм для 1-2 класів закладів загальної середньої освіти»  та Типової освітньої програми для 3-4 класів (автор – ШИЯН ), затвердженої наказом МОН України від 12.10.2022 № 743-22«Про затвердження типових освітніх навчальних програм для 3-4 класів закладів загальної середньої освіти». </w:t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spacing w:lineRule="auto" w:line="276" w:before="0" w:after="0"/>
        <w:ind w:firstLine="567" w:right="85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Навчальний план Суховільського ліцею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охоплює інваріантну складову, сформовану на державному рівні, та варіативну складову, в якій  введено курс за вибором “Основи християнської етики ”( 2-4  класи ) “Каліграфія”( 1 клас),  </w:t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spacing w:lineRule="auto" w:line="276" w:before="0" w:after="0"/>
        <w:ind w:firstLine="567" w:right="85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Організовано поділ на групи при вивченні ЯДС ( інформатична галузь ,2 клас) та  інформатики  у 3-4 класах.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Повноцінність 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>
      <w:pPr>
        <w:pStyle w:val="Normal"/>
        <w:shd w:val="clear" w:color="auto" w:fill="FFFFFF"/>
        <w:spacing w:lineRule="auto" w:line="276" w:before="0" w:after="0"/>
        <w:ind w:firstLine="567" w:right="85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76" w:before="0" w:after="0"/>
        <w:ind w:firstLine="567" w:right="85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Мистецька галузь мистецтво реалізується через інтегрований предмет  “Мистецтво”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>Навчальний план  (НУШ) Суховільського ліцею на  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н.р.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680" w:type="dxa"/>
        <w:jc w:val="left"/>
        <w:tblInd w:w="-243" w:type="dxa"/>
        <w:tblLayout w:type="fixed"/>
        <w:tblCellMar>
          <w:top w:w="28" w:type="dxa"/>
          <w:left w:w="21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369"/>
        <w:gridCol w:w="2816"/>
        <w:gridCol w:w="954"/>
        <w:gridCol w:w="956"/>
        <w:gridCol w:w="815"/>
        <w:gridCol w:w="735"/>
        <w:gridCol w:w="953"/>
        <w:gridCol w:w="498"/>
        <w:gridCol w:w="954"/>
        <w:gridCol w:w="496"/>
        <w:gridCol w:w="1132"/>
      </w:tblGrid>
      <w:tr>
        <w:trPr/>
        <w:tc>
          <w:tcPr>
            <w:tcW w:w="3185" w:type="dxa"/>
            <w:gridSpan w:val="2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lang w:val="uk-UA" w:eastAsia="zh-CN" w:bidi="hi-IN"/>
              </w:rPr>
              <w:t>№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lang w:val="uk-UA" w:eastAsia="zh-CN" w:bidi="hi-IN"/>
              </w:rPr>
              <w:t>Навчальні предмети</w:t>
            </w:r>
          </w:p>
        </w:tc>
        <w:tc>
          <w:tcPr>
            <w:tcW w:w="3460" w:type="dxa"/>
            <w:gridSpan w:val="4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lang w:val="uk-UA" w:eastAsia="zh-CN" w:bidi="hi-IN"/>
              </w:rPr>
              <w:t>Кількість годин на тиждень у класах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</w:tr>
      <w:tr>
        <w:trPr/>
        <w:tc>
          <w:tcPr>
            <w:tcW w:w="3185" w:type="dxa"/>
            <w:gridSpan w:val="2"/>
            <w:vMerge w:val="continue"/>
            <w:tcBorders>
              <w:left w:val="single" w:sz="4" w:space="0" w:color="00000A"/>
              <w:bottom w:val="single" w:sz="2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spacing w:before="0" w:after="200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1А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sz w:val="20"/>
                <w:szCs w:val="20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val="uk-UA" w:eastAsia="zh-CN" w:bidi="hi-IN"/>
              </w:rPr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1Б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Інклюзивний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2А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2Б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3А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Інклюзивний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3Б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4А</w:t>
            </w:r>
          </w:p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Інклюзивний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4Б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Разом</w:t>
            </w:r>
          </w:p>
        </w:tc>
      </w:tr>
      <w:tr>
        <w:trPr>
          <w:trHeight w:val="628" w:hRule="atLeast"/>
        </w:trPr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Українська мова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0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40</w:t>
            </w:r>
          </w:p>
        </w:tc>
      </w:tr>
      <w:tr>
        <w:trPr/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Англійська мова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22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Математика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28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4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Я досліджую світ :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7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58</w:t>
            </w:r>
          </w:p>
        </w:tc>
      </w:tr>
      <w:tr>
        <w:trPr/>
        <w:tc>
          <w:tcPr>
            <w:tcW w:w="369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Мовно-літературна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16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Математична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Природнича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Технологічна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Соціальна здоров’я збережна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Громадянська та історична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Інформатична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/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val="uk-UA" w:eastAsia="zh-CN" w:bidi="hi-IN"/>
              </w:rPr>
              <w:t>1/</w:t>
            </w:r>
            <w:r>
              <w:rPr>
                <w:rFonts w:eastAsia="Calibri" w:ascii="Times New Roman" w:hAnsi="Times New Roman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4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/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5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Мистецтво (інтегрований курс)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16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6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Фізична культура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24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7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Інформатика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en-US" w:eastAsia="zh-CN" w:bidi="hi-IN"/>
              </w:rPr>
              <w:t>1/1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1/1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1/1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1/1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4/4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Усього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22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22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24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/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uk-UA" w:eastAsia="zh-CN" w:bidi="hi-IN"/>
              </w:rPr>
              <w:t>24/1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25/1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25/1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25/1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25/1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  <w:t>192/6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Предмети за вибором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4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113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lang w:val="uk-UA" w:eastAsia="zh-CN" w:bidi="hi-IN"/>
              </w:rPr>
              <w:t>8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Основи християнської етики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479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ind w:left="479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6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Каліграфія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4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113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Cs/>
                <w:lang w:val="uk-UA" w:eastAsia="zh-CN" w:bidi="hi-IN"/>
              </w:rPr>
              <w:t>2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Корекційно — розвиткові заняття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113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15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Корекція розвитку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3+4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7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95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b/>
                <w:bCs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b/>
                <w:bCs/>
                <w:lang w:val="uk-UA" w:eastAsia="zh-CN" w:bidi="hi-IN"/>
              </w:rPr>
            </w:r>
          </w:p>
        </w:tc>
        <w:tc>
          <w:tcPr>
            <w:tcW w:w="113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15</w:t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Гранично допустиме тижневе навчальне навантаження на учня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20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22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22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tcW w:w="36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Style21"/>
              <w:spacing w:lineRule="atLeast" w:line="360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</w:tc>
        <w:tc>
          <w:tcPr>
            <w:tcW w:w="2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tLeast" w:line="36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+7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23+6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/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25</w:t>
            </w:r>
          </w:p>
        </w:tc>
        <w:tc>
          <w:tcPr>
            <w:tcW w:w="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26/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1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+4</w:t>
            </w:r>
          </w:p>
        </w:tc>
        <w:tc>
          <w:tcPr>
            <w:tcW w:w="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26/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1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6</w:t>
            </w:r>
            <w:r>
              <w:rPr>
                <w:rFonts w:eastAsia="Calibri" w:ascii="Times New Roman" w:hAnsi="Times New Roman"/>
                <w:lang w:val="uk-UA" w:eastAsia="zh-CN" w:bidi="hi-IN"/>
              </w:rPr>
              <w:t>/1+2</w:t>
            </w:r>
          </w:p>
        </w:tc>
        <w:tc>
          <w:tcPr>
            <w:tcW w:w="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>
                <w:rFonts w:ascii="Times New Roman" w:hAnsi="Times New Roman" w:eastAsia="Calibri"/>
                <w:lang w:val="uk-UA" w:eastAsia="zh-CN" w:bidi="hi-I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val="uk-UA" w:eastAsia="zh-CN" w:bidi="hi-IN"/>
              </w:rPr>
              <w:t>26/</w:t>
            </w:r>
            <w:r>
              <w:rPr>
                <w:rFonts w:eastAsia="Calibri" w:ascii="Times New Roman" w:hAnsi="Times New Roman"/>
                <w:lang w:val="en-US" w:eastAsia="zh-CN" w:bidi="hi-IN"/>
              </w:rPr>
              <w:t>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200/</w:t>
            </w:r>
            <w:r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en-US"/>
              </w:rPr>
              <w:t>+</w:t>
            </w:r>
            <w:r>
              <w:rPr>
                <w:rFonts w:ascii="Times New Roman" w:hAnsi="Times New Roman"/>
                <w:lang w:val="uk-UA"/>
              </w:rPr>
              <w:t>15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5.ЗАГАЛЬНИЙ ОБСЯГ НАВЧАЛЬНОГО НАВАНТАЖЕННЯ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>
        <w:rPr>
          <w:rFonts w:cs="Times New Roman" w:ascii="Times New Roman" w:hAnsi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Перелік та пропонований зміст освітніх галузей.</w:t>
      </w:r>
      <w:r>
        <w:rPr>
          <w:rFonts w:cs="Times New Roman" w:ascii="Times New Roman" w:hAnsi="Times New Roman"/>
          <w:sz w:val="28"/>
          <w:szCs w:val="28"/>
        </w:rPr>
        <w:t xml:space="preserve"> Освітню програму укладено за такими освітніми галузями: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Мовно-літературна, у тому числі: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Рідномовна освіта (українська мова та література; мови та літератури корінних народів та національних меншин) (МОВ 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Іншомовна освіта (ІНО)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Математична (МАО)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Природнича (ПРО)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Технологічна (ТЕО)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Інформатична (ІФО)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Соціальна і здоров’язбережувальна (СЗО)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Громадянська та історична (ГІО)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Мистецька (МИО) Фізкультурна (ФІО)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Очікувані результати навчання здобувачів освіти.</w:t>
      </w:r>
      <w:r>
        <w:rPr>
          <w:rFonts w:cs="Times New Roman" w:ascii="Times New Roman" w:hAnsi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6. ФОРМИ ОРГАНІЗАЦІЇ ОСВІТНЬОГО ПРОЦЕСУ.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Основними формами організації освітнього процесу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 комбінований урок; використання технологій дистанційного навчання.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Також передбачені екскурсії, віртуальні подорожі, уроки-семінари, квести, інтерактивні уроки (уроки-«суди»,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онлайн тести, програмні засоби навчання та інше.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Заклад освіти може створювати у своєму складі класи (групи) з поглибленим вивченням окремих предметів, інклюзивні класи для навчання дітей з особливими освітніми потребами. Освітня програма передбачає освітні компоненти для вільного вибору здобувачів освіти; має корекційно-розвитковий складник для осіб з особливими освітніми потребами.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Індивідуальне навчання та навчання екстерном у ліцеї організовується відповідно до Положення про індивідуальне навчання, затвердженого наказом МОН України  12.01.2016 №8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7.ІНСТРУМЕНТАРІЙ ОЦІНЮВАННЯ НАВЧАЛЬНИХ ДОСЯГНЕНЬ ЗДОБУВАЧІВ ОСВІТИ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>
      <w:pPr>
        <w:pStyle w:val="Normal"/>
        <w:spacing w:lineRule="auto" w:line="276" w:before="0" w:after="0"/>
        <w:ind w:firstLine="567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Навчальні досягнення здобувачів освіти у 1-4 класах підлягають вербальному, формувальному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>
      <w:pPr>
        <w:pStyle w:val="Normal"/>
        <w:spacing w:lineRule="auto" w:line="276" w:before="0" w:after="0"/>
        <w:ind w:firstLine="567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Підсумкове оцінювання передбачає зіставлення навчальних досягнень здобувачів з очікуваними результатами навчання, визначеними освітньою програмою.</w:t>
      </w:r>
    </w:p>
    <w:p>
      <w:pPr>
        <w:pStyle w:val="Normal"/>
        <w:tabs>
          <w:tab w:val="clear" w:pos="709"/>
          <w:tab w:val="left" w:pos="540" w:leader="none"/>
        </w:tabs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 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07.12.2018 №1369, зареєстрованого у Міністерстві юстиції України 02.01.2019 №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8/32979.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8.ПРОГРАМНО-МЕТОДИЧНЕ ЗАБЕЗПЕЧЕННЯ ОСВІТНЬОЇ ПРОГРАМИ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Для виконання освітньої програми закладу на 2025/2026 навчальний рік передбачено використання, затверджених Міністерством освіти і науки України, навчальних програм з усіх предметів інваріатної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Перелік навчальних програм для 1-4-х класів (НУШ)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"/>
        <w:gridCol w:w="9109"/>
      </w:tblGrid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Назва навчальної програми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Типова освітня програма для 1-2 класів (автор Шиян Р.Б.),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наказом МОН України від 08.10.2019 № 1272)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Типова освітня програма для 3-4 класів (автор Шиян Р.Б..),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наказом МОН України від 08.10.2019 № 1273)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Навчальна програма курсу за вибором «Основи християнської етики. 1-11 класи» для закладів загальної середньої освіти (автори: Сохань Г.С., Гусаков І.М., Гусак М.Є., Пономарьова М.С., Кушнір І.М</w:t>
            </w:r>
          </w:p>
          <w:p>
            <w:pPr>
              <w:pStyle w:val="Normal"/>
              <w:ind w:hanging="0" w:left="0" w:right="0"/>
              <w:rPr/>
            </w:pPr>
            <w:r>
              <w:rPr/>
              <w:br/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Каліграфія .Навчальні програми для загальноосвітніх навчальних закладів із навчанням українською мовою: 1–4 кл. Автор </w:t>
            </w:r>
            <w:r>
              <w:rPr>
                <w:sz w:val="28"/>
                <w:szCs w:val="28"/>
              </w:rPr>
              <w:t>О. Нікулочкіна , доцент кафедри початкової освіти та реабілітаційної педагогіки Запорізького обласного інституту післядипломної педагогічної освіти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paragraph" w:styleId="Heading1">
    <w:name w:val="Heading 1"/>
    <w:basedOn w:val="Style18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Style18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Style12">
    <w:name w:val="Маркери"/>
    <w:qFormat/>
    <w:rPr>
      <w:rFonts w:ascii="OpenSymbol" w:hAnsi="OpenSymbol" w:eastAsia="OpenSymbol" w:cs="OpenSymbol"/>
    </w:rPr>
  </w:style>
  <w:style w:type="character" w:styleId="Style13">
    <w:name w:val="Текст у виносці Знак"/>
    <w:basedOn w:val="DefaultParagraphFont"/>
    <w:qFormat/>
    <w:rPr>
      <w:rFonts w:ascii="Tahoma" w:hAnsi="Tahoma" w:cs="Tahoma"/>
      <w:sz w:val="16"/>
      <w:szCs w:val="16"/>
    </w:rPr>
  </w:style>
  <w:style w:type="character" w:styleId="Style14">
    <w:name w:val="Нижній колонтитул Знак"/>
    <w:basedOn w:val="DefaultParagraphFont"/>
    <w:qFormat/>
    <w:rPr/>
  </w:style>
  <w:style w:type="character" w:styleId="Style15">
    <w:name w:val="Верхній колонтитул Знак"/>
    <w:basedOn w:val="DefaultParagraphFont"/>
    <w:qFormat/>
    <w:rPr/>
  </w:style>
  <w:style w:type="character" w:styleId="Text-4505230f--texth400-3033861f--textcontentfamily-49a318e1">
    <w:name w:val="text-4505230f--texth400-3033861f--textcontentfamily-49a318e1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7">
    <w:name w:val="Назва Знак"/>
    <w:basedOn w:val="DefaultParagraphFont"/>
    <w:qFormat/>
    <w:rPr>
      <w:rFonts w:ascii="Times New Roman" w:hAnsi="Times New Roman" w:eastAsia="Times New Roman" w:cs="Times New Roman"/>
      <w:b/>
      <w:bCs/>
      <w:sz w:val="72"/>
      <w:szCs w:val="7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Style20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1">
    <w:name w:val="Вміст таблиці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lockparagraph-544a408c">
    <w:name w:val="blockparagraph-544a408c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ubtitle">
    <w:name w:val="Sub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2"/>
      <w:lang w:val="uk-UA" w:eastAsia="en-US" w:bidi="ar-SA"/>
    </w:rPr>
  </w:style>
  <w:style w:type="paragraph" w:styleId="Style24">
    <w:name w:val="Вміст рамки"/>
    <w:basedOn w:val="Normal"/>
    <w:qFormat/>
    <w:pPr/>
    <w:rPr/>
  </w:style>
  <w:style w:type="paragraph" w:styleId="XHeadB">
    <w:name w:val="XHeadB"/>
    <w:basedOn w:val="Normal"/>
    <w:qFormat/>
    <w:pPr>
      <w:spacing w:lineRule="auto" w:line="264"/>
      <w:jc w:val="center"/>
    </w:pPr>
    <w:rPr>
      <w:rFonts w:ascii="Arial" w:hAnsi="Arial" w:cs="Arial"/>
      <w:sz w:val="28"/>
      <w:szCs w:val="28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hanging="0" w:left="107"/>
      <w:jc w:val="center"/>
    </w:pPr>
    <w:rPr>
      <w:rFonts w:ascii="Times New Roman" w:hAnsi="Times New Roman" w:eastAsia="Times New Roman"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DejaVu Sans"/>
      <w:color w:val="000000"/>
      <w:kern w:val="0"/>
      <w:sz w:val="24"/>
      <w:szCs w:val="22"/>
      <w:lang w:val="uk-UA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zakon.rada.gov.ua/laws/show/1392-2011-&#1087;" TargetMode="External"/><Relationship Id="rId4" Type="http://schemas.openxmlformats.org/officeDocument/2006/relationships/hyperlink" Target="https://osvita.ua/legislation/Ser_osv/89658/" TargetMode="External"/><Relationship Id="rId5" Type="http://schemas.openxmlformats.org/officeDocument/2006/relationships/hyperlink" Target="https://osvita.ua/legislation/Ser_osv/89658/" TargetMode="External"/><Relationship Id="rId6" Type="http://schemas.openxmlformats.org/officeDocument/2006/relationships/hyperlink" Target="https://drive.google.com/file/d/1y79jCMjVFRB3tXTCOYRy-LLDY5ZXTV1U/view?usp=sharing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467</TotalTime>
  <Application>LibreOffice/7.6.4.1$Windows_X86_64 LibreOffice_project/e19e193f88cd6c0525a17fb7a176ed8e6a3e2aa1</Application>
  <AppVersion>15.0000</AppVersion>
  <Pages>16</Pages>
  <Words>2715</Words>
  <Characters>17925</Characters>
  <CharactersWithSpaces>20855</CharactersWithSpaces>
  <Paragraphs>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2024-10-17T11:38:35Z</cp:lastPrinted>
  <dcterms:modified xsi:type="dcterms:W3CDTF">2025-09-03T16:55:08Z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